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1835150" distL="1071245" distR="1059815" simplePos="0" relativeHeight="125829378" behindDoc="0" locked="0" layoutInCell="1" allowOverlap="1">
            <wp:simplePos x="0" y="0"/>
            <wp:positionH relativeFrom="page">
              <wp:posOffset>1783715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826770</wp:posOffset>
                </wp:positionH>
                <wp:positionV relativeFrom="paragraph">
                  <wp:posOffset>622300</wp:posOffset>
                </wp:positionV>
                <wp:extent cx="2414270" cy="1831975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14270" cy="18319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е-таП: 1о77@(а8.еоу.ги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14" w:val="left"/>
                                <w:tab w:pos="2530" w:val="left"/>
                              </w:tabs>
                              <w:bidi w:val="0"/>
                              <w:spacing w:before="0" w:after="18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1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8.01.2024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>№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1698/24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5.099999999999994pt;margin-top:49.pt;width:190.09999999999999pt;height:144.25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59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е-таП: 1о77@(а8.еоу.ги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14" w:val="left"/>
                          <w:tab w:pos="2530" w:val="left"/>
                        </w:tabs>
                        <w:bidi w:val="0"/>
                        <w:spacing w:before="0" w:after="18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1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8.01.2024</w:t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ab/>
                        <w:t>№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ab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1698/24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«ЕЭТП»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ко@го8екогд.ги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«ТГБ ДЗМ»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ТС6В-Е8@тш1ли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«Ревал»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380" w:line="240" w:lineRule="auto"/>
        <w:ind w:left="53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1епдег@опс1еатпд.ги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942" w:val="left"/>
        </w:tabs>
        <w:bidi w:val="0"/>
        <w:spacing w:before="0" w:after="0" w:line="233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077/06/106-703/2024 о нарушении</w:t>
        <w:br/>
        <w:t>законодательства о контрактной системе</w:t>
        <w:br/>
        <w:t>15.01.2024</w:t>
        <w:tab/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г. Москве по контролю в сфере закупок товаров, работ, услуг (далее - 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— главного специалиста-эксперта отдела обжалования государственных закупок А.А. Кутейникова,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Главного-специалиста эксперта отдела обжалования государственных закупок Н.А. Узкого,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разряда отдела обжалования государственных закупок М.О. Мацневой,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видеоконференцсвязи), при участии представителей ООО «Ревал»,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отсутствие представителей ГБУЗ «ТГБ ДЗМ», о времени и порядке заседания Комиссии Управления уведомлены надлежащим образом посредством Единой информационной системы,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900" w:line="233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ООО «Ревал» (далее — Заявитель) на действия ГБУЗ «ТГБ ДЗМ» (далее — Заказчик) при проведении электронного аукциона на право заключения государственного контракта на оказание услуг по комплексной уборке помещений в Государственном бюджетном учреждении здравоохранения города Москвы «Троицкая городская больница Департамента здравоохранения города Москвы» 36 мес (Закупка № 0348300003323000193) (далее — аукцион),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— Закон о контрактной системе),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line="240" w:lineRule="auto"/>
        <w:ind w:left="0" w:right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bookmarkEnd w:id="0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23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1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Заказчика при проведении вышеуказанного аукциона.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6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Заказчиком представлены документы и сведения, запрашиваемые Московским УФАС России.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1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составе жалобы Заявитель указывает на то, что комиссией по осуществлению закупок Заказчика нарушены нормы Закона о контрактной системе при принятии решения об отклонении заявки Заявителя.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3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протоколу подведения итогов определения поставщика (подрядчика, исполнителя) от 29.12.2023 №ИЭА1 заявка ООО «Ревал», с идентификационным номером заявки 349880, отклонена комиссией по осуществлению закупок Заказчика на следующем основании: «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Отклонить заявку на участие в закупке по п.1 ч.12 ст.48 №44-ФЗ «Непредставление информации и документов, предусмотренных извещением об осуществлении закупки (за исключением информации и документов, предусмотренных п. 2, 3 ч. 6 ст. 43 Закона 44-ФЗ), несоответствие таких информации и документов требованиям» Заявка подлежит отклонению на основании пп. «а» п. 1 ч. 5 ст. 49, п. 3 ч. 12 ст. 48 Федерального закона от 05.04.2013 ^ 44-ФЗ: несоответствие участника закупки требованиям, установленным в извещении об осуществлении закупки в соответствии с частью 1 статьи 31 настоящего Федерального закона, требованиям, установленным в извещении об осуществлении закупки в соответствии с частями 1.1, 2 и 2.1 (при наличии таких требований) статьи 31 настоящего Федерального закона, а именно несоответствие требованиям п. 5 ч. 1 ст . 31 Федерального закона от 05.04.2013 ^ 44-ФЗ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3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П.12 ч.1 ст.42 Закона о контрактной системе установлено, что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требования, предъявляемые к участникам закупки в соответствии с частью 1 статьи 31 настоящего Федерального закона, требования, предъявляемые к участникам закупки в соответствии с частями 2 и 2.1 (при наличии таких требований) статьи 31 настоящего Федерального закона, и исчерпывающий перечень документов, подтверждающих соответствие участника закупки таким требованиям, а также требование, предъявляемое к участникам закупки в соответствии с частью 1.1 статьи 31 настоящего Федерального закона (при наличии такого требования).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3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пп. «о» п.1 ч.1 ст.43 Закона о контрактной системе для участия в конкурентном способе заявка на участие в закупке, если иное не предусмотрено Законом о контрактной системе, должна содержать декларацию о соответствии участника закупки требованиям, установленным пунктами 3 - 5, 7 - 11 части 1 статьи 31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3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Согласно п.5 ч.1 ст.31 Закона о контрактной системе при применении конкурентных способов, при осуществлении закупки у единственного поставщика (подрядчика, исполнителя) в случаях, предусмотренных пунктами 4, 5, 18, 30, 42, 49, 54 и 59 части 1 статьи 93 Закона о контрактной системе, заказчик устанавливает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требования об отсутствии у участника закупки недоимки по налогам, сборам, задолженности по иным обязательным платежам в бюджеты бюджетной системы Российской Федерации (за исключением сумм, на которые предоставлены отсрочка, рассрочка, инвестиционный налоговый кредит в соответствии с законодательством Российской Федерации о налогах и сборах, которые реструктурированы в соответствии с законодательством Российской Федерации,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сборах) за прошедший календарный год, размер которых превышает двадцать пять процентов балансовой стоимости активов участника закупки, по данным бухгалтерской отчетности за последний отчетный период. Участник закупки считается соответствующим установленному требованию в случае, если им в установленном порядке подано заявление об обжаловании указанных недоимки, задолженности и решение по такому заявлению на дату рассмотрения заявки на участие в определении поставщика (подрядчика, исполнителя) не принято.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3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пп.3 п.14 Информационной карты закупочной документации предъявлены следующие требования к составу заявки: «Декларация о соответствии участника закупки требованиям, установленным пунктами 3 - 5, 7 - 11 части 1 статьи 31 Федерального Закона 44-ФЗ».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3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ч.4 ст.106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3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Заявителя пояснил, что в составе заявки представлена декларация об отсутствии у участника недоимки по налогам, сборам, задолженности по иным обязательным платежам в бюджеты бюджетной системы Российской Федерации (за исключением сумм, на которые предоставлены отсрочка, рассрочка, инвестиционный налоговый кредит в соответствии с законодательством Российской Федерации о налогах и сборах, которые реструктурированы в соответствии с законодательством Российской Федерации,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сборах) за прошедший календарный год, размер которых превышает двадцать пять процентов балансовой стоимости активов участника закупки, по данным бухгалтерской отчетности за последний отчетный период. Участник закупки считается соответствующим установленному требованию в случае, если им в установленном порядке подано заявление об обжаловании указанных недоимки, задолженности и решение по такому заявлению на дату рассмотрения заявки на участие в определении поставщика (подрядчика, исполнителя) не принято в соответствии с требованиями п.5 ч.1 ст.31 Закона о контрактной системе, а также пп.3 п.14 Информационной карты закупочной документации.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3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3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составе представленных возражений Заказчиком указано, что на основании информации, полученной из открытых источников (Ъйр8://^^^.ги8ргой1е.ги/), находящихся в свободном доступе, на момент проверки заявок участников, комиссией по осуществлению закупок было установлено, что у участника закупки имелись недоимки по налогам и сборам. Таким образом, участник закупки не соответствовал требованиям п. 5 ч. 1 ст. 31 Закона о контрактной системе, на основании чего его заявка была отклонена.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3936" w:val="left"/>
        </w:tabs>
        <w:bidi w:val="0"/>
        <w:spacing w:before="0" w:after="0" w:line="223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тем, на заседании Комиссии Управления представителем Заявителя представлена справка №</w:t>
        <w:tab/>
        <w:t>218663 об исполнении налогоплательщиком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(плательщиком сбора, плательщиком страховых взносов, налоговым агентом) обязанности по уплате налогов, сборов, страховых взносов, пеней, штрафов, процентов, выданная межрайонной инспекцией Федеральной налоговой службы №24 по Санкт-Петербургу, 781, свидетельствующая об отсутствии неисполненных обязательств.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3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Комиссия Управления также отмечает, что сторонние источники могут не содержать достоверные и актуальные сведения о о запрашиваемых лицах. Такие источники созданы на коммерческой основе, целью которых получить коммерческую выгоду от посетителя. Таким образом, при наличии противоречивых сведений предпочтения отдаются государственным источникам информации, в рассматриваемом случае налоговой службе.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3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пп. «а» п.1 ч.5 ст.49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п.4 ч.4 ст.49 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п.1 - 8 ч.12 ст.48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3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ч.12 ст.48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0" w:val="left"/>
        </w:tabs>
        <w:bidi w:val="0"/>
        <w:spacing w:before="0" w:after="0" w:line="223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(за исключением случаев, предусмотренных Законом о контрактной системе)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п.2 и 3 ч.6 ст.43 Закона о контрактной системе),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0" w:val="left"/>
        </w:tabs>
        <w:bidi w:val="0"/>
        <w:spacing w:before="0" w:after="0" w:line="223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информации и документов, предусмотренных п.2 и 3 ч.6 ст.43 Закона о контрактной системе,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0" w:val="left"/>
        </w:tabs>
        <w:bidi w:val="0"/>
        <w:spacing w:before="0" w:after="0" w:line="223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несоответствия участника закупки требованиям, установленным в извещении об осуществлении закупки в соответствии с ч.1 ст.31 Закона о контрактной системе, требованиям, установленным в извещении об осуществлении закупки в соответствии с ч.1.1, 2 и 2.1 (при наличии таких требований) статьи 31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Закона о контрактной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0" w:val="left"/>
        </w:tabs>
        <w:bidi w:val="0"/>
        <w:spacing w:before="0" w:after="0" w:line="223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предусмотренных нормативными правовыми актами, принятыми в соответствии со ст.14 Закона о контрактной системе (за исключением случаев непредставления информации и документов, предусмотренных пунктом 5 части 1 ст.43 Закона о контрактной системе);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0" w:val="left"/>
        </w:tabs>
        <w:bidi w:val="0"/>
        <w:spacing w:before="0" w:after="0" w:line="223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информации и документов, предусмотренных п.5 ч.1 ст.43 Закона о контрактной системе , если такие документы предусмотрены нормативными правовыми актами, принятыми в соответствии с ч.3 ст.14 Закона о контрактной системе (в случае установления в соответствии со ст.14 Закона о контрактной системе а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0" w:val="left"/>
        </w:tabs>
        <w:bidi w:val="0"/>
        <w:spacing w:before="0" w:after="0" w:line="223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выявления отнесения участника закупки к организациям, предусмотренным пунктом 4 статьи 2 Федерального закона от 4 июня 2018 года №127-ФЗ «О мерах воздействия (противодействия) на недружественные действия Соединенных Штатов Америки и иных иностранных государств»,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770" w:val="left"/>
        </w:tabs>
        <w:bidi w:val="0"/>
        <w:spacing w:before="0" w:after="0" w:line="223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предусмотренных ч.6 ст.45 Закона о контрактной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0" w:val="left"/>
        </w:tabs>
        <w:bidi w:val="0"/>
        <w:spacing w:before="0" w:after="0" w:line="226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выявления недостоверной информации, содержащейся в заявке на участие в закупке.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6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Комиссия Управления приходит к выводу, что решение комиссии по осуществлению закупок Заказчика в части отклонения заявки ООО «Ревал», по основанию указанному в протоколе, принято в нарушение пп. «а» п.1 ч.5 ст.49 Закона о контрактной системе, что также свидетельствует о наличии в действиях комиссии Заказчика признаков состава административного правонарушения, ответственность за которое предусмотрена частью 2 статьи 7.30 Кодекса Российской Федерации об административных правонарушениях.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6" w:lineRule="auto"/>
        <w:ind w:left="0" w:right="0" w:firstLine="700"/>
        <w:jc w:val="both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1010" w:right="540" w:bottom="970" w:left="1102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23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06" w:val="left"/>
        </w:tabs>
        <w:bidi w:val="0"/>
        <w:spacing w:before="0" w:after="0" w:line="221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ООО «Ревал» на действия комиссии ГБУЗ «ТГБ ДЗМ» Москвы» обоснованной.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06" w:val="left"/>
        </w:tabs>
        <w:bidi w:val="0"/>
        <w:spacing w:before="0" w:after="0" w:line="226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в действиях комиссии Заказчика нарушения пп. «а» п.1 ч.5 ст.49 Закона о контрактной системе.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06" w:val="left"/>
        </w:tabs>
        <w:bidi w:val="0"/>
        <w:spacing w:before="0" w:after="0" w:line="221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Выдать Заказчику обязательное для исполнения предписание об устранении нарушений законодательства о контрактной системе.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06" w:val="left"/>
        </w:tabs>
        <w:bidi w:val="0"/>
        <w:spacing w:before="0" w:after="280" w:line="223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6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установленным гл. 24 АПК РФ.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158" w:right="527" w:bottom="1940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30200" distB="203835" distL="0" distR="0" simplePos="0" relativeHeight="125829381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330200</wp:posOffset>
                </wp:positionV>
                <wp:extent cx="1850390" cy="250190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7.950000000000003pt;margin-top:26.pt;width:145.70000000000002pt;height:19.699999999999999pt;z-index:-125829372;mso-wrap-distance-left:0;mso-wrap-distance-top:26.pt;mso-wrap-distance-right:0;mso-wrap-distance-bottom:16.0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421640" distB="0" distL="0" distR="1807210" simplePos="0" relativeHeight="125829383" behindDoc="0" locked="0" layoutInCell="1" allowOverlap="1">
            <wp:simplePos x="0" y="0"/>
            <wp:positionH relativeFrom="page">
              <wp:posOffset>3131820</wp:posOffset>
            </wp:positionH>
            <wp:positionV relativeFrom="paragraph">
              <wp:posOffset>421640</wp:posOffset>
            </wp:positionV>
            <wp:extent cx="311150" cy="365760"/>
            <wp:wrapTopAndBottom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491490</wp:posOffset>
                </wp:positionV>
                <wp:extent cx="1725295" cy="255905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77.55000000000001pt;margin-top:38.700000000000003pt;width:135.84999999999999pt;height:20.15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4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30200" distB="203835" distL="0" distR="0" simplePos="0" relativeHeight="125829384" behindDoc="0" locked="0" layoutInCell="1" allowOverlap="1">
                <wp:simplePos x="0" y="0"/>
                <wp:positionH relativeFrom="page">
                  <wp:posOffset>5908675</wp:posOffset>
                </wp:positionH>
                <wp:positionV relativeFrom="paragraph">
                  <wp:posOffset>330200</wp:posOffset>
                </wp:positionV>
                <wp:extent cx="1307465" cy="25019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746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А.А. Кутейников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465.25pt;margin-top:26.pt;width:102.95pt;height:19.699999999999999pt;z-index:-125829369;mso-wrap-distance-left:0;mso-wrap-distance-top:26.pt;mso-wrap-distance-right:0;mso-wrap-distance-bottom:16.0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А.А. Кутейников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1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51" w:line="240" w:lineRule="auto"/>
        <w:ind w:right="0" w:firstLine="0"/>
        <w:jc w:val="left"/>
      </w:pP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Кутейников Антон Андреевич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6366183222Е5ОСЕ2САЗЕ6О732820С91 </w:t>
      </w: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>С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23.01.2023 по 17.04.2024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0"/>
        <w:jc w:val="right"/>
      </w:pPr>
      <w:r>
        <w:drawing>
          <wp:anchor distT="0" distB="0" distL="114300" distR="1903730" simplePos="0" relativeHeight="125829386" behindDoc="0" locked="0" layoutInCell="1" allowOverlap="1">
            <wp:simplePos x="0" y="0"/>
            <wp:positionH relativeFrom="page">
              <wp:posOffset>3107055</wp:posOffset>
            </wp:positionH>
            <wp:positionV relativeFrom="paragraph">
              <wp:posOffset>50800</wp:posOffset>
            </wp:positionV>
            <wp:extent cx="353695" cy="402590"/>
            <wp:wrapSquare wrapText="right"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3695" cy="4025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142240</wp:posOffset>
                </wp:positionV>
                <wp:extent cx="1725295" cy="255905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77.55000000000001pt;margin-top:11.200000000000001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Н.А. Узкий</w:t>
      </w:r>
    </w:p>
    <w:p>
      <w:pPr>
        <w:pStyle w:val="Style21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Узкий Николай Александрович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464646"/>
          <w:spacing w:val="0"/>
          <w:w w:val="100"/>
          <w:position w:val="0"/>
          <w:shd w:val="clear" w:color="auto" w:fill="auto"/>
          <w:lang w:val="ru-RU" w:eastAsia="ru-RU" w:bidi="ru-RU"/>
        </w:rPr>
        <w:t>00СС5А1А1</w:t>
      </w: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>С3030775Е8423Р1</w:t>
      </w:r>
      <w:r>
        <w:rPr>
          <w:color w:val="464646"/>
          <w:spacing w:val="0"/>
          <w:w w:val="100"/>
          <w:position w:val="0"/>
          <w:shd w:val="clear" w:color="auto" w:fill="auto"/>
          <w:lang w:val="ru-RU" w:eastAsia="ru-RU" w:bidi="ru-RU"/>
        </w:rPr>
        <w:t>1867182162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24.01.2023 по 18.04.2024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0"/>
        <w:jc w:val="right"/>
      </w:pPr>
      <w:r>
        <w:drawing>
          <wp:anchor distT="0" distB="0" distL="114300" distR="1903730" simplePos="0" relativeHeight="125829387" behindDoc="0" locked="0" layoutInCell="1" allowOverlap="1">
            <wp:simplePos x="0" y="0"/>
            <wp:positionH relativeFrom="page">
              <wp:posOffset>3107055</wp:posOffset>
            </wp:positionH>
            <wp:positionV relativeFrom="paragraph">
              <wp:posOffset>63500</wp:posOffset>
            </wp:positionV>
            <wp:extent cx="353695" cy="396240"/>
            <wp:wrapSquare wrapText="right"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3695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154940</wp:posOffset>
                </wp:positionV>
                <wp:extent cx="1725295" cy="255905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77.55000000000001pt;margin-top:12.200000000000001pt;width:135.84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М.О. Мацнева</w:t>
      </w:r>
    </w:p>
    <w:p>
      <w:pPr>
        <w:pStyle w:val="Style21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color w:val="EAEAEA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Мацнева Мария Олеговна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464646"/>
          <w:spacing w:val="0"/>
          <w:w w:val="100"/>
          <w:position w:val="0"/>
          <w:shd w:val="clear" w:color="auto" w:fill="auto"/>
          <w:lang w:val="ru-RU" w:eastAsia="ru-RU" w:bidi="ru-RU"/>
        </w:rPr>
        <w:t>008926921ЕВ71Е0631А2ЕЕ19ЕВВ8Е80В4Е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280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color w:val="46464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28.03.2023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464646"/>
          <w:spacing w:val="0"/>
          <w:w w:val="100"/>
          <w:position w:val="0"/>
          <w:shd w:val="clear" w:color="auto" w:fill="auto"/>
          <w:lang w:val="ru-RU" w:eastAsia="ru-RU" w:bidi="ru-RU"/>
        </w:rPr>
        <w:t>20.06.2024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Исп.Узкий Н.А.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27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727710</wp:posOffset>
              </wp:positionH>
              <wp:positionV relativeFrom="page">
                <wp:posOffset>10116185</wp:posOffset>
              </wp:positionV>
              <wp:extent cx="646430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64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2024-1989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300000000000004pt;margin-top:796.55000000000007pt;width:50.89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2024-1989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722630</wp:posOffset>
              </wp:positionH>
              <wp:positionV relativeFrom="page">
                <wp:posOffset>10123805</wp:posOffset>
              </wp:positionV>
              <wp:extent cx="648970" cy="10033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2024-1989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6.899999999999999pt;margin-top:797.14999999999998pt;width:51.100000000000001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2024-1989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3924935</wp:posOffset>
              </wp:positionH>
              <wp:positionV relativeFrom="page">
                <wp:posOffset>476250</wp:posOffset>
              </wp:positionV>
              <wp:extent cx="67310" cy="10350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309.05000000000001pt;margin-top:37.5pt;width:5.29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character" w:customStyle="1" w:styleId="CharStyle7">
    <w:name w:val="Основной текст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1">
    <w:name w:val="Колонтитул (2)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5">
    <w:name w:val="Заголовок №1_"/>
    <w:basedOn w:val="DefaultParagraphFont"/>
    <w:link w:val="Style14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19">
    <w:name w:val="Подпись к картинке_"/>
    <w:basedOn w:val="DefaultParagraphFont"/>
    <w:link w:val="Style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62626"/>
      <w:sz w:val="12"/>
      <w:szCs w:val="12"/>
      <w:u w:val="none"/>
    </w:rPr>
  </w:style>
  <w:style w:type="character" w:customStyle="1" w:styleId="CharStyle22">
    <w:name w:val="Основной текст (4)_"/>
    <w:basedOn w:val="DefaultParagraphFont"/>
    <w:link w:val="Style21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4">
    <w:name w:val="Основной текст (2)_"/>
    <w:basedOn w:val="DefaultParagraphFont"/>
    <w:link w:val="Style23"/>
    <w:rPr>
      <w:rFonts w:ascii="Arial" w:eastAsia="Arial" w:hAnsi="Arial" w:cs="Arial"/>
      <w:b w:val="0"/>
      <w:bCs w:val="0"/>
      <w:i w:val="0"/>
      <w:iCs w:val="0"/>
      <w:smallCaps w:val="0"/>
      <w:strike w:val="0"/>
      <w:color w:val="696969"/>
      <w:sz w:val="12"/>
      <w:szCs w:val="12"/>
      <w:u w:val="none"/>
    </w:rPr>
  </w:style>
  <w:style w:type="character" w:customStyle="1" w:styleId="CharStyle31">
    <w:name w:val="Основной текст (5)_"/>
    <w:basedOn w:val="DefaultParagraphFont"/>
    <w:link w:val="Style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after="14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0">
    <w:name w:val="Колонтитул (2)"/>
    <w:basedOn w:val="Normal"/>
    <w:link w:val="CharStyle11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4">
    <w:name w:val="Заголовок №1"/>
    <w:basedOn w:val="Normal"/>
    <w:link w:val="CharStyle15"/>
    <w:pPr>
      <w:widowControl w:val="0"/>
      <w:shd w:val="clear" w:color="auto" w:fill="auto"/>
      <w:spacing w:after="280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18">
    <w:name w:val="Подпись к картинке"/>
    <w:basedOn w:val="Normal"/>
    <w:link w:val="CharStyle19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62626"/>
      <w:sz w:val="12"/>
      <w:szCs w:val="12"/>
      <w:u w:val="none"/>
    </w:rPr>
  </w:style>
  <w:style w:type="paragraph" w:customStyle="1" w:styleId="Style21">
    <w:name w:val="Основной текст (4)"/>
    <w:basedOn w:val="Normal"/>
    <w:link w:val="CharStyle22"/>
    <w:pPr>
      <w:widowControl w:val="0"/>
      <w:shd w:val="clear" w:color="auto" w:fill="auto"/>
      <w:spacing w:after="80"/>
      <w:ind w:left="45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3">
    <w:name w:val="Основной текст (2)"/>
    <w:basedOn w:val="Normal"/>
    <w:link w:val="CharStyle24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96969"/>
      <w:sz w:val="12"/>
      <w:szCs w:val="12"/>
      <w:u w:val="none"/>
    </w:rPr>
  </w:style>
  <w:style w:type="paragraph" w:customStyle="1" w:styleId="Style30">
    <w:name w:val="Основной текст (5)"/>
    <w:basedOn w:val="Normal"/>
    <w:link w:val="CharStyle31"/>
    <w:pPr>
      <w:widowControl w:val="0"/>
      <w:shd w:val="clear" w:color="auto" w:fill="auto"/>
      <w:spacing w:after="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/Relationships>
</file>