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4067810</wp:posOffset>
                </wp:positionH>
                <wp:positionV relativeFrom="paragraph">
                  <wp:posOffset>548640</wp:posOffset>
                </wp:positionV>
                <wp:extent cx="1551305" cy="168275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«АйВиТех» ^6@та^1.^и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РТУ МИРЭА 1еп4егкот@тпеа.ги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ЭТП ТЭК-Торг Ъе1р@1ек1огд.ги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30000000000001pt;margin-top:43.200000000000003pt;width:122.15000000000001pt;height:132.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«АйВиТех» ^6@та^1.^и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РТУ МИРЭА 1еп4егкот@тпеа.ги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ЭТП ТЭК-Торг Ъе1р@1ек1огд.ги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36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4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2654" w:val="left"/>
          <w:tab w:pos="3370" w:val="left"/>
        </w:tabs>
        <w:bidi w:val="0"/>
        <w:spacing w:before="0" w:after="0" w:line="240" w:lineRule="auto"/>
        <w:ind w:left="0" w:right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94" w:bottom="621" w:left="46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1596/24</w:t>
      </w:r>
      <w:bookmarkEnd w:id="0"/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490" w:h="240" w:wrap="none" w:vAnchor="text" w:hAnchor="page" w:x="4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46609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  <w:r>
        <w:drawing>
          <wp:anchor distT="450850" distB="0" distL="0" distR="103505" simplePos="0" relativeHeight="62914696" behindDoc="1" locked="0" layoutInCell="1" allowOverlap="1">
            <wp:simplePos x="0" y="0"/>
            <wp:positionH relativeFrom="page">
              <wp:posOffset>297815</wp:posOffset>
            </wp:positionH>
            <wp:positionV relativeFrom="paragraph">
              <wp:posOffset>463550</wp:posOffset>
            </wp:positionV>
            <wp:extent cx="219710" cy="21336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4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9" w:right="0" w:bottom="4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077/06/106-645/2024 о нарушении</w:t>
        <w:br/>
        <w:t>законодательства о контрактной системе</w:t>
        <w:br/>
        <w:t>15.01.2024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конференц-связи), 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«АйВиТех»: Филимоновой К.В. (по доверенности №б/н от 20.12.2023);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РТУ МИРЭА: Битченкова Д.И. (по доверенности №206/23 от 03.10.2023), Владимировой С.А. (по доверенности №186/23 от 01.09.2023),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«АйВиТех» (далее — Заявитель) на действия РТУ МИРЭА (далее — Заказчик) при проведении электронного аукциона на право заключения контракта на поставку оборудования и комплектующих (Закупка № 0373100029523000370)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посредством Единой информационной системы,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26.12.2023 №ИЭА1 заявка Заявителя (идентификационный номер 2) признана не соответствующей требованиям извещения об осуществлении закупки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ч. 12 ст. 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44-ФЗ) требованиям, установленным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участником для позиции «Светодиодный экран» значение характеристики «Плотность пикселей, Ло! 1п2» противоречит указанным участником значениям для характеристик «Разрешение кабинета, Пиксель» и «Размер кабинета, мм.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требования к закупаемым товарам, в том числе, по п.5 «Светодиодный экран. Код позиции по ОКПД 2 26.40.33.190»: Плотность пикселей: &gt; 304704 4о1/т2; Разрешение кабинета: 320*180 Пиксель; Размер кабинета: 576*324*28.6 мм.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ООО «АйВиТех» представлены сведения о поставляемых товарах, в том числе, по п. 5 «Светодиодный экран. Код позиции по ОКПД 2 26.40.33.190»: Плотность пикселей: 304704 4о1/т2; Разрешение кабинета: 320*180 Пиксель; Размер кабинета: 576*324*28.6 мм.»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значения характеристик «Плотность пикселей», «Разрешение кабинета», «Размер кабинета» взаимосвязаны и определяют друг друга.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Значение характеристики «Плотность пикселей, с1о1лп2» показывает количество пикселей на площади в 1 м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Исходя из указанных значений для характеристик «Разрешение кабинета, Пиксель» и «Размер кабинета, мм» значение характеристики «Плотность пикселей, с1о1лп2» должно составить 308642 4о1/т2, в то время как Заявитель указывает значение 304704 с1о1лп2.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Вычисления, подтверждающие недостоверность предоставленной Заявителем в состав заявки информации в отношении товара: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площадь одного кабинета составляет 576 мм * 324 мм 0.576 т*0.324 т = 0.186624 м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расчета числа кабинетов в 1 м2 требуется разделить 1 м2 на площадь одного кабинета: 1/0.186624=5.358368 кабинетов/м2.;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количество пикселей в одном кабинете составляет пикселей или 4о1.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плотность пикселей в величине с1о1/т2 является произведением числа кабинетов в 1 м2 на количество пикселей или По! в одном кабинете: 5.358368 (число кабинетов в 1 м2) * 57600 (число пикселей или По! в одном кабинете) = 308642 По!/т2 (что и противоречит заявленному Участником значению в 304704 По!/т2 для характеристики «Плотность пикселей, 4о1/т2»).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представителем Заявителя на заседании Комиссии Управления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 5 ч. 1 ст. 43 Закона о контрактной системе, если такие документы предусмотрены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признания заявки Заявителя не соответствующей, и решение комиссии Заказчика в части признания заявки Заявителя не соответствующей требованиям извещения и Закону о контрактной системе является правомерным.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пояснениям Заказчика, значение характеристики «Плотность пикселей, с1о1лп2» показывает количество пикселей на площади в 1 м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Исходя из производной значений для характеристик «Разрешение кабинета, Пиксель» и «Размер кабинета, мм», значение характеристики «Плотность пикселей, с1о1/ш2» будет априори известно Заказчику.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условия извещения должны содержать ясные и четкие требования, не допускающие неоднозначного толкования с тем, чтобы любой участник экономических правоотношений при решении вопроса об участии в аукционе имел четкое представление о том, какие документы, значения характеристик он должен представить для участия в аукционе и каким требованиям он должен соответствовать.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Комиссия Управления отмечает, что Заказчик, устанавливая в Техническом задании значение характеристики, которое возможно установить только при математическом расчете ограничивает круг потенциальных участников аукциона, которые лишены четкого понимания о том, каким образом необходимо рассчитывать данную характеристику при заполнении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Вышеописанные обстоятельства свидетельствует о том, что установленные требования носят избыточный характер и искусственно увеличивают объем сведений, необходимых к представлению в составе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вышеуказанные требования в составе Технического задания могут привести в заблуждение участников закупочной процедуры при подачи заявки на участие в аукционе, а также к ограничению количества участников, что свидетельствует о нарушении Заказчиком п.1 ч.1, ч.2 ст.33,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и наличии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«АйВиТех» на действия комиссии РТУ МИРЭА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п.1 ч.1, ч.2 ст.33,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9" w:right="527" w:bottom="441" w:left="47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0" behindDoc="0" locked="0" layoutInCell="1" allowOverlap="1">
                <wp:simplePos x="0" y="0"/>
                <wp:positionH relativeFrom="page">
                  <wp:posOffset>342265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6.949999999999999pt;margin-top:10.pt;width:145.70000000000002pt;height:19.699999999999999pt;z-index:-125829373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2" behindDoc="0" locked="0" layoutInCell="1" allowOverlap="1">
            <wp:simplePos x="0" y="0"/>
            <wp:positionH relativeFrom="page">
              <wp:posOffset>2789555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55.65000000000001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3204210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52.30000000000001pt;margin-top:22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3" behindDoc="0" locked="0" layoutInCell="1" allowOverlap="1">
                <wp:simplePos x="0" y="0"/>
                <wp:positionH relativeFrom="page">
                  <wp:posOffset>5862320</wp:posOffset>
                </wp:positionH>
                <wp:positionV relativeFrom="paragraph">
                  <wp:posOffset>127000</wp:posOffset>
                </wp:positionV>
                <wp:extent cx="131381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1.60000000000002pt;margin-top:10.pt;width:103.45pt;height:19.699999999999999pt;z-index:-125829370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6" w:bottom="1973" w:left="4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356870" distL="0" distR="0" simplePos="0" relativeHeight="125829385" behindDoc="0" locked="0" layoutInCell="1" allowOverlap="1">
                <wp:simplePos x="0" y="0"/>
                <wp:positionH relativeFrom="page">
                  <wp:posOffset>342265</wp:posOffset>
                </wp:positionH>
                <wp:positionV relativeFrom="paragraph">
                  <wp:posOffset>228600</wp:posOffset>
                </wp:positionV>
                <wp:extent cx="134112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.949999999999999pt;margin-top:18.pt;width:105.60000000000001pt;height:19.900000000000002pt;z-index:-125829368;mso-wrap-distance-left:0;mso-wrap-distance-top:18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4800" distB="0" distL="0" distR="1786255" simplePos="0" relativeHeight="125829387" behindDoc="0" locked="0" layoutInCell="1" allowOverlap="1">
            <wp:simplePos x="0" y="0"/>
            <wp:positionH relativeFrom="page">
              <wp:posOffset>2789555</wp:posOffset>
            </wp:positionH>
            <wp:positionV relativeFrom="paragraph">
              <wp:posOffset>304800</wp:posOffset>
            </wp:positionV>
            <wp:extent cx="353695" cy="536575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704215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55.65000000000001pt;margin-top:55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3204210</wp:posOffset>
                </wp:positionH>
                <wp:positionV relativeFrom="paragraph">
                  <wp:posOffset>393065</wp:posOffset>
                </wp:positionV>
                <wp:extent cx="1722120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2.30000000000001pt;margin-top:30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356870" distL="0" distR="0" simplePos="0" relativeHeight="125829388" behindDoc="0" locked="0" layoutInCell="1" allowOverlap="1">
                <wp:simplePos x="0" y="0"/>
                <wp:positionH relativeFrom="page">
                  <wp:posOffset>5840730</wp:posOffset>
                </wp:positionH>
                <wp:positionV relativeFrom="paragraph">
                  <wp:posOffset>228600</wp:posOffset>
                </wp:positionV>
                <wp:extent cx="1341120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59.90000000000003pt;margin-top:18.pt;width:105.60000000000001pt;height:19.900000000000002pt;z-index:-125829365;mso-wrap-distance-left:0;mso-wrap-distance-top:18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2789555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55.65000000000001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3204210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52.30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008926921 ЕВ71Е0631А2ЕЕ19ЕВВ8Е80В4Е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28.03.2023 по 20.06.2024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6" w:bottom="1162" w:left="4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339090</wp:posOffset>
              </wp:positionH>
              <wp:positionV relativeFrom="page">
                <wp:posOffset>10305415</wp:posOffset>
              </wp:positionV>
              <wp:extent cx="6432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2024-1831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6.699999999999999pt;margin-top:811.45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2024-1831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309880</wp:posOffset>
              </wp:positionH>
              <wp:positionV relativeFrom="page">
                <wp:posOffset>10217150</wp:posOffset>
              </wp:positionV>
              <wp:extent cx="636905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4.400000000000002pt;margin-top:804.5pt;width:50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3731260</wp:posOffset>
              </wp:positionH>
              <wp:positionV relativeFrom="page">
                <wp:posOffset>435610</wp:posOffset>
              </wp:positionV>
              <wp:extent cx="6731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293.80000000000001pt;margin-top:34.3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C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C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ind w:firstLine="8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ind w:firstLine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