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403" w:h="2107" w:wrap="none" w:hAnchor="page" w:x="1859" w:y="1095"/>
        <w:widowControl w:val="0"/>
        <w:shd w:val="clear" w:color="auto" w:fill="auto"/>
        <w:bidi w:val="0"/>
        <w:spacing w:before="0" w:after="0" w:line="295"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ФЕДЕРАЛЬНАЯ</w:t>
      </w:r>
    </w:p>
    <w:p>
      <w:pPr>
        <w:pStyle w:val="Style2"/>
        <w:keepNext w:val="0"/>
        <w:keepLines w:val="0"/>
        <w:framePr w:w="3403" w:h="2107" w:wrap="none" w:hAnchor="page" w:x="1859" w:y="1095"/>
        <w:widowControl w:val="0"/>
        <w:shd w:val="clear" w:color="auto" w:fill="auto"/>
        <w:bidi w:val="0"/>
        <w:spacing w:before="0" w:after="120" w:line="295"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АНТИМОНОПОЛЬНАЯ СЛ УЖБА</w:t>
      </w:r>
    </w:p>
    <w:p>
      <w:pPr>
        <w:pStyle w:val="Style5"/>
        <w:keepNext w:val="0"/>
        <w:keepLines w:val="0"/>
        <w:framePr w:w="3403" w:h="2107" w:wrap="none" w:hAnchor="page" w:x="1859" w:y="1095"/>
        <w:widowControl w:val="0"/>
        <w:shd w:val="clear" w:color="auto" w:fill="auto"/>
        <w:bidi w:val="0"/>
        <w:spacing w:before="0"/>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 службы</w:t>
        <w:br/>
        <w:t>по Тверской области</w:t>
      </w:r>
    </w:p>
    <w:p>
      <w:pPr>
        <w:pStyle w:val="Style2"/>
        <w:keepNext w:val="0"/>
        <w:keepLines w:val="0"/>
        <w:framePr w:w="3403" w:h="2107" w:wrap="none" w:hAnchor="page" w:x="1859" w:y="1095"/>
        <w:widowControl w:val="0"/>
        <w:shd w:val="clear" w:color="auto" w:fill="auto"/>
        <w:bidi w:val="0"/>
        <w:spacing w:before="0" w:after="0" w:line="314" w:lineRule="auto"/>
        <w:ind w:left="0" w:right="0" w:firstLine="0"/>
        <w:jc w:val="center"/>
      </w:pPr>
      <w:r>
        <w:rPr>
          <w:i/>
          <w:iCs/>
          <w:color w:val="000000"/>
          <w:spacing w:val="0"/>
          <w:w w:val="100"/>
          <w:position w:val="0"/>
          <w:shd w:val="clear" w:color="auto" w:fill="auto"/>
          <w:lang w:val="ru-RU" w:eastAsia="ru-RU" w:bidi="ru-RU"/>
        </w:rPr>
        <w:t>ул.</w:t>
      </w:r>
      <w:r>
        <w:rPr>
          <w:color w:val="000000"/>
          <w:spacing w:val="0"/>
          <w:w w:val="100"/>
          <w:position w:val="0"/>
          <w:shd w:val="clear" w:color="auto" w:fill="auto"/>
          <w:lang w:val="ru-RU" w:eastAsia="ru-RU" w:bidi="ru-RU"/>
        </w:rPr>
        <w:t xml:space="preserve"> Советская, 23, г, Тверь, 170100</w:t>
        <w:br/>
        <w:t>тел, (4822) 32-08-32</w:t>
      </w:r>
    </w:p>
    <w:p>
      <w:pPr>
        <w:pStyle w:val="Style2"/>
        <w:keepNext w:val="0"/>
        <w:keepLines w:val="0"/>
        <w:framePr w:w="3403" w:h="2107" w:wrap="none" w:hAnchor="page" w:x="1859" w:y="1095"/>
        <w:widowControl w:val="0"/>
        <w:shd w:val="clear" w:color="auto" w:fill="auto"/>
        <w:bidi w:val="0"/>
        <w:spacing w:before="0" w:after="140" w:line="314" w:lineRule="auto"/>
        <w:ind w:left="0" w:right="0" w:firstLine="0"/>
        <w:jc w:val="center"/>
      </w:pPr>
      <w:r>
        <w:rPr>
          <w:color w:val="000000"/>
          <w:spacing w:val="0"/>
          <w:w w:val="100"/>
          <w:position w:val="0"/>
          <w:shd w:val="clear" w:color="auto" w:fill="auto"/>
          <w:lang w:val="ru-RU" w:eastAsia="ru-RU" w:bidi="ru-RU"/>
        </w:rPr>
        <w:t>е-тай: Юб9@ Га5.§о\'.ги</w:t>
      </w:r>
    </w:p>
    <w:p>
      <w:pPr>
        <w:pStyle w:val="Style8"/>
        <w:keepNext/>
        <w:keepLines/>
        <w:framePr w:w="3787" w:h="480" w:wrap="none" w:hAnchor="page" w:x="1720" w:y="3385"/>
        <w:widowControl w:val="0"/>
        <w:shd w:val="clear" w:color="auto" w:fill="auto"/>
        <w:bidi w:val="0"/>
        <w:spacing w:before="0" w:after="0" w:line="240" w:lineRule="auto"/>
        <w:ind w:left="0" w:right="0" w:firstLine="0"/>
        <w:jc w:val="left"/>
      </w:pPr>
      <w:bookmarkStart w:id="0" w:name="bookmark0"/>
      <w:r>
        <w:rPr>
          <w:spacing w:val="0"/>
          <w:w w:val="100"/>
          <w:position w:val="0"/>
          <w:shd w:val="clear" w:color="auto" w:fill="auto"/>
          <w:lang w:val="ru-RU" w:eastAsia="ru-RU" w:bidi="ru-RU"/>
        </w:rPr>
        <w:t xml:space="preserve">1!) ЙМ_. </w:t>
      </w:r>
      <w:r>
        <w:rPr>
          <w:color w:val="000000"/>
          <w:spacing w:val="0"/>
          <w:w w:val="100"/>
          <w:position w:val="0"/>
          <w:shd w:val="clear" w:color="auto" w:fill="auto"/>
          <w:lang w:val="ru-RU" w:eastAsia="ru-RU" w:bidi="ru-RU"/>
        </w:rPr>
        <w:t>№</w:t>
      </w:r>
      <w:r>
        <w:rPr>
          <w:spacing w:val="0"/>
          <w:w w:val="100"/>
          <w:position w:val="0"/>
          <w:shd w:val="clear" w:color="auto" w:fill="auto"/>
          <w:lang w:val="ru-RU" w:eastAsia="ru-RU" w:bidi="ru-RU"/>
        </w:rPr>
        <w:t>„КНДйДЖ</w:t>
      </w:r>
      <w:bookmarkEnd w:id="0"/>
    </w:p>
    <w:p>
      <w:pPr>
        <w:pStyle w:val="Style5"/>
        <w:keepNext w:val="0"/>
        <w:keepLines w:val="0"/>
        <w:framePr w:w="2640" w:h="274" w:wrap="none" w:hAnchor="page" w:x="1547" w:y="4748"/>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Решение 069/06/106-1162/2023</w:t>
      </w:r>
    </w:p>
    <w:p>
      <w:pPr>
        <w:pStyle w:val="Style11"/>
        <w:keepNext w:val="0"/>
        <w:keepLines w:val="0"/>
        <w:framePr w:w="4282" w:h="5093" w:wrap="none" w:hAnchor="page" w:x="6625" w:y="884"/>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Заказчик:</w:t>
      </w:r>
    </w:p>
    <w:p>
      <w:pPr>
        <w:pStyle w:val="Style11"/>
        <w:keepNext w:val="0"/>
        <w:keepLines w:val="0"/>
        <w:framePr w:w="4282" w:h="5093" w:wrap="none" w:hAnchor="page" w:x="6625" w:y="884"/>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Министерство здравоохранения Тверской области</w:t>
      </w:r>
    </w:p>
    <w:p>
      <w:pPr>
        <w:pStyle w:val="Style11"/>
        <w:keepNext w:val="0"/>
        <w:keepLines w:val="0"/>
        <w:framePr w:w="4282" w:h="5093" w:wrap="none" w:hAnchor="page" w:x="6625" w:y="884"/>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е-тай: с1ер_2с1гау@1уегге§.ги,</w:t>
      </w:r>
    </w:p>
    <w:p>
      <w:pPr>
        <w:pStyle w:val="Style11"/>
        <w:keepNext w:val="0"/>
        <w:keepLines w:val="0"/>
        <w:framePr w:w="4282" w:h="5093" w:wrap="none" w:hAnchor="page" w:x="6625" w:y="884"/>
        <w:widowControl w:val="0"/>
        <w:shd w:val="clear" w:color="auto" w:fill="auto"/>
        <w:bidi w:val="0"/>
        <w:spacing w:before="0" w:after="240" w:line="264" w:lineRule="auto"/>
        <w:ind w:left="0" w:right="0" w:firstLine="0"/>
        <w:jc w:val="both"/>
      </w:pPr>
      <w:r>
        <w:rPr>
          <w:color w:val="000000"/>
          <w:spacing w:val="0"/>
          <w:w w:val="100"/>
          <w:position w:val="0"/>
          <w:shd w:val="clear" w:color="auto" w:fill="auto"/>
          <w:lang w:val="ru-RU" w:eastAsia="ru-RU" w:bidi="ru-RU"/>
        </w:rPr>
        <w:t>Ш21ор§@уапйех</w:t>
      </w:r>
      <w:r>
        <w:rPr>
          <w:color w:val="000000"/>
          <w:spacing w:val="0"/>
          <w:w w:val="100"/>
          <w:position w:val="0"/>
          <w:shd w:val="clear" w:color="auto" w:fill="auto"/>
          <w:vertAlign w:val="subscript"/>
          <w:lang w:val="ru-RU" w:eastAsia="ru-RU" w:bidi="ru-RU"/>
        </w:rPr>
        <w:t>;</w:t>
      </w:r>
      <w:r>
        <w:rPr>
          <w:color w:val="000000"/>
          <w:spacing w:val="0"/>
          <w:w w:val="100"/>
          <w:position w:val="0"/>
          <w:shd w:val="clear" w:color="auto" w:fill="auto"/>
          <w:lang w:val="ru-RU" w:eastAsia="ru-RU" w:bidi="ru-RU"/>
        </w:rPr>
        <w:t>ги (э)</w:t>
      </w:r>
    </w:p>
    <w:p>
      <w:pPr>
        <w:pStyle w:val="Style11"/>
        <w:keepNext w:val="0"/>
        <w:keepLines w:val="0"/>
        <w:framePr w:w="4282" w:h="5093" w:wrap="none" w:hAnchor="page" w:x="6625" w:y="884"/>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Уполномоченный орган:</w:t>
      </w:r>
    </w:p>
    <w:p>
      <w:pPr>
        <w:pStyle w:val="Style11"/>
        <w:keepNext w:val="0"/>
        <w:keepLines w:val="0"/>
        <w:framePr w:w="4282" w:h="5093" w:wrap="none" w:hAnchor="page" w:x="6625" w:y="884"/>
        <w:widowControl w:val="0"/>
        <w:shd w:val="clear" w:color="auto" w:fill="auto"/>
        <w:bidi w:val="0"/>
        <w:spacing w:before="0" w:after="0" w:line="254" w:lineRule="auto"/>
        <w:ind w:left="0" w:right="0" w:firstLine="0"/>
        <w:jc w:val="both"/>
      </w:pPr>
      <w:r>
        <w:rPr>
          <w:color w:val="000000"/>
          <w:spacing w:val="0"/>
          <w:w w:val="100"/>
          <w:position w:val="0"/>
          <w:shd w:val="clear" w:color="auto" w:fill="auto"/>
          <w:lang w:val="ru-RU" w:eastAsia="ru-RU" w:bidi="ru-RU"/>
        </w:rPr>
        <w:t>Комитет государственного заказа Тверской области</w:t>
      </w:r>
    </w:p>
    <w:p>
      <w:pPr>
        <w:pStyle w:val="Style11"/>
        <w:keepNext w:val="0"/>
        <w:keepLines w:val="0"/>
        <w:framePr w:w="4282" w:h="5093" w:wrap="none" w:hAnchor="page" w:x="6625" w:y="884"/>
        <w:widowControl w:val="0"/>
        <w:shd w:val="clear" w:color="auto" w:fill="auto"/>
        <w:bidi w:val="0"/>
        <w:spacing w:before="0" w:after="240" w:line="254" w:lineRule="auto"/>
        <w:ind w:left="0" w:right="0" w:firstLine="0"/>
        <w:jc w:val="both"/>
      </w:pPr>
      <w:r>
        <w:rPr>
          <w:color w:val="000000"/>
          <w:spacing w:val="0"/>
          <w:w w:val="100"/>
          <w:position w:val="0"/>
          <w:shd w:val="clear" w:color="auto" w:fill="auto"/>
          <w:lang w:val="ru-RU" w:eastAsia="ru-RU" w:bidi="ru-RU"/>
        </w:rPr>
        <w:t>е-шай: кот_§о82ака2а@Щегге§.ги (э)</w:t>
      </w:r>
    </w:p>
    <w:p>
      <w:pPr>
        <w:pStyle w:val="Style11"/>
        <w:keepNext w:val="0"/>
        <w:keepLines w:val="0"/>
        <w:framePr w:w="4282" w:h="5093" w:wrap="none" w:hAnchor="page" w:x="6625" w:y="884"/>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Заявитель:</w:t>
      </w:r>
    </w:p>
    <w:p>
      <w:pPr>
        <w:pStyle w:val="Style11"/>
        <w:keepNext w:val="0"/>
        <w:keepLines w:val="0"/>
        <w:framePr w:w="4282" w:h="5093" w:wrap="none" w:hAnchor="page" w:x="6625" w:y="884"/>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ООО «РусМедИмпорт»</w:t>
      </w:r>
    </w:p>
    <w:p>
      <w:pPr>
        <w:pStyle w:val="Style11"/>
        <w:keepNext w:val="0"/>
        <w:keepLines w:val="0"/>
        <w:framePr w:w="4282" w:h="5093" w:wrap="none" w:hAnchor="page" w:x="6625" w:y="884"/>
        <w:widowControl w:val="0"/>
        <w:shd w:val="clear" w:color="auto" w:fill="auto"/>
        <w:bidi w:val="0"/>
        <w:spacing w:before="0" w:after="240" w:line="264" w:lineRule="auto"/>
        <w:ind w:left="0" w:right="0" w:firstLine="0"/>
        <w:jc w:val="both"/>
      </w:pPr>
      <w:r>
        <w:rPr>
          <w:color w:val="000000"/>
          <w:spacing w:val="0"/>
          <w:w w:val="100"/>
          <w:position w:val="0"/>
          <w:shd w:val="clear" w:color="auto" w:fill="auto"/>
          <w:lang w:val="ru-RU" w:eastAsia="ru-RU" w:bidi="ru-RU"/>
        </w:rPr>
        <w:t>е-шай: 8а1е8@ги8шей1шрог1:.сот (э)</w:t>
      </w:r>
    </w:p>
    <w:p>
      <w:pPr>
        <w:pStyle w:val="Style11"/>
        <w:keepNext w:val="0"/>
        <w:keepLines w:val="0"/>
        <w:framePr w:w="4282" w:h="5093" w:wrap="none" w:hAnchor="page" w:x="6625" w:y="884"/>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Оператор электронной площадки:</w:t>
      </w:r>
    </w:p>
    <w:p>
      <w:pPr>
        <w:pStyle w:val="Style11"/>
        <w:keepNext w:val="0"/>
        <w:keepLines w:val="0"/>
        <w:framePr w:w="4282" w:h="5093" w:wrap="none" w:hAnchor="page" w:x="6625" w:y="884"/>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ООО «РТС-тендер»</w:t>
      </w:r>
    </w:p>
    <w:p>
      <w:pPr>
        <w:pStyle w:val="Style11"/>
        <w:keepNext w:val="0"/>
        <w:keepLines w:val="0"/>
        <w:framePr w:w="4282" w:h="5093" w:wrap="none" w:hAnchor="page" w:x="6625" w:y="884"/>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е-шай: ко@Пз4епс1ег.ги (э)е-шай: ко@г1з-</w:t>
      </w:r>
    </w:p>
    <w:p>
      <w:pPr>
        <w:pStyle w:val="Style11"/>
        <w:keepNext w:val="0"/>
        <w:keepLines w:val="0"/>
        <w:framePr w:w="4282" w:h="5093" w:wrap="none" w:hAnchor="page" w:x="6625" w:y="884"/>
        <w:widowControl w:val="0"/>
        <w:shd w:val="clear" w:color="auto" w:fill="auto"/>
        <w:bidi w:val="0"/>
        <w:spacing w:before="0" w:after="240" w:line="264" w:lineRule="auto"/>
        <w:ind w:left="0" w:right="0" w:firstLine="0"/>
        <w:jc w:val="both"/>
      </w:pPr>
      <w:r>
        <w:rPr>
          <w:color w:val="000000"/>
          <w:spacing w:val="0"/>
          <w:w w:val="100"/>
          <w:position w:val="0"/>
          <w:shd w:val="clear" w:color="auto" w:fill="auto"/>
          <w:lang w:val="ru-RU" w:eastAsia="ru-RU" w:bidi="ru-RU"/>
        </w:rPr>
        <w:t>Щпйег.ги (э)</w:t>
      </w:r>
    </w:p>
    <w:p>
      <w:pPr>
        <w:widowControl w:val="0"/>
        <w:spacing w:line="360" w:lineRule="exact"/>
      </w:pPr>
      <w:r>
        <w:drawing>
          <wp:anchor distT="0" distB="0" distL="0" distR="0" simplePos="0" relativeHeight="62914690" behindDoc="1" locked="0" layoutInCell="1" allowOverlap="1">
            <wp:simplePos x="0" y="0"/>
            <wp:positionH relativeFrom="page">
              <wp:posOffset>2002790</wp:posOffset>
            </wp:positionH>
            <wp:positionV relativeFrom="margin">
              <wp:posOffset>0</wp:posOffset>
            </wp:positionV>
            <wp:extent cx="511810" cy="5911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11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75"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601" w:right="461" w:bottom="1519" w:left="1536" w:header="0" w:footer="3" w:gutter="0"/>
          <w:pgNumType w:start="1"/>
          <w:cols w:space="720"/>
          <w:noEndnote/>
          <w:titlePg/>
          <w:rtlGutter w:val="0"/>
          <w:docGrid w:linePitch="360"/>
        </w:sect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923" w:right="0" w:bottom="1592" w:left="0" w:header="0" w:footer="3" w:gutter="0"/>
          <w:cols w:space="720"/>
          <w:noEndnote/>
          <w:rtlGutter w:val="0"/>
          <w:docGrid w:linePitch="360"/>
        </w:sectPr>
      </w:pPr>
    </w:p>
    <w:p>
      <w:pPr>
        <w:pStyle w:val="Style11"/>
        <w:keepNext w:val="0"/>
        <w:keepLines w:val="0"/>
        <w:widowControl w:val="0"/>
        <w:shd w:val="clear" w:color="auto" w:fill="auto"/>
        <w:bidi w:val="0"/>
        <w:spacing w:before="0" w:after="0"/>
        <w:ind w:left="0" w:right="0" w:firstLine="0"/>
        <w:jc w:val="center"/>
      </w:pPr>
      <w:r>
        <w:rPr>
          <w:b/>
          <w:bCs/>
          <w:color w:val="000000"/>
          <w:spacing w:val="0"/>
          <w:w w:val="100"/>
          <w:position w:val="0"/>
          <w:shd w:val="clear" w:color="auto" w:fill="auto"/>
          <w:lang w:val="ru-RU" w:eastAsia="ru-RU" w:bidi="ru-RU"/>
        </w:rPr>
        <w:t>РЕШЕНИЕ</w:t>
      </w:r>
    </w:p>
    <w:p>
      <w:pPr>
        <w:pStyle w:val="Style11"/>
        <w:keepNext w:val="0"/>
        <w:keepLines w:val="0"/>
        <w:widowControl w:val="0"/>
        <w:shd w:val="clear" w:color="auto" w:fill="auto"/>
        <w:bidi w:val="0"/>
        <w:spacing w:before="0" w:after="260"/>
        <w:ind w:left="0" w:right="0" w:firstLine="0"/>
        <w:jc w:val="center"/>
      </w:pPr>
      <w:r>
        <w:rPr>
          <w:b/>
          <w:bCs/>
          <w:color w:val="000000"/>
          <w:spacing w:val="0"/>
          <w:w w:val="100"/>
          <w:position w:val="0"/>
          <w:shd w:val="clear" w:color="auto" w:fill="auto"/>
          <w:lang w:val="ru-RU" w:eastAsia="ru-RU" w:bidi="ru-RU"/>
        </w:rPr>
        <w:t>по делу № 069/06/106-1162/2023 о рассмотрении жалобы на нарушение</w:t>
        <w:br/>
        <w:t>законодательства о контрактной системе</w:t>
      </w:r>
    </w:p>
    <w:p>
      <w:pPr>
        <w:pStyle w:val="Style11"/>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Резолютивная часть решения оглашена «14» декабря 2023 г.</w:t>
      </w:r>
    </w:p>
    <w:p>
      <w:pPr>
        <w:pStyle w:val="Style11"/>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В полном объеме решение изготовлено «19» декабря 2023 г. г. Тверь</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 Комиссии:</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Мурзин К.И. -руководитель управления,</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члены Комиссии:</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Винницкая П.Д. - главный специалист-эксперт отдела контроля закупок,</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Быков К.О. - ведущий специалист-эксперт отдела контроля закупок,</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участии посредством видеоконференц-связи представителей:</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Министерства здравоохранения Тверской области (далее - Заказчик): Севериной Е.Е. (по доверенности);</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Комитета государственного заказа Тверской области (далее - Уполномоченный орган): Заикиной Н.М. (по доверенности);</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представители ООО «РусМедИмпорт» (далее - Заявитель) на заседание Комиссии не явились, о дате, времени и месте рассмотрения посредством видеоконференц-связи уведомлены надлежащим образом,</w:t>
      </w:r>
    </w:p>
    <w:p>
      <w:pPr>
        <w:pStyle w:val="Style11"/>
        <w:keepNext w:val="0"/>
        <w:keepLines w:val="0"/>
        <w:widowControl w:val="0"/>
        <w:shd w:val="clear" w:color="auto" w:fill="auto"/>
        <w:bidi w:val="0"/>
        <w:spacing w:before="0" w:after="400"/>
        <w:ind w:left="0" w:right="0" w:firstLine="700"/>
        <w:jc w:val="both"/>
      </w:pPr>
      <w:r>
        <w:rPr>
          <w:color w:val="000000"/>
          <w:spacing w:val="0"/>
          <w:w w:val="100"/>
          <w:position w:val="0"/>
          <w:shd w:val="clear" w:color="auto" w:fill="auto"/>
          <w:lang w:val="ru-RU" w:eastAsia="ru-RU" w:bidi="ru-RU"/>
        </w:rPr>
        <w:t>рассмотрев посредством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w:t>
      </w:r>
    </w:p>
    <w:p>
      <w:pPr>
        <w:pStyle w:val="Style20"/>
        <w:keepNext/>
        <w:keepLines/>
        <w:widowControl w:val="0"/>
        <w:shd w:val="clear" w:color="auto" w:fill="auto"/>
        <w:bidi w:val="0"/>
        <w:spacing w:before="0" w:after="240" w:line="240" w:lineRule="auto"/>
        <w:ind w:left="0" w:right="0" w:firstLine="0"/>
        <w:jc w:val="left"/>
        <w:rPr>
          <w:sz w:val="22"/>
          <w:szCs w:val="22"/>
        </w:rPr>
      </w:pPr>
      <w:bookmarkStart w:id="2" w:name="bookmark2"/>
      <w:r>
        <w:rPr>
          <w:color w:val="000000"/>
          <w:spacing w:val="0"/>
          <w:w w:val="100"/>
          <w:position w:val="0"/>
          <w:sz w:val="30"/>
          <w:szCs w:val="30"/>
          <w:shd w:val="clear" w:color="auto" w:fill="auto"/>
          <w:lang w:val="ru-RU" w:eastAsia="ru-RU" w:bidi="ru-RU"/>
        </w:rPr>
        <w:t>ПШ1111111111111111111</w:t>
      </w:r>
      <w:bookmarkEnd w:id="2"/>
      <w:r>
        <w:rPr>
          <w:color w:val="000000"/>
          <w:spacing w:val="0"/>
          <w:w w:val="100"/>
          <w:position w:val="0"/>
          <w:sz w:val="30"/>
          <w:szCs w:val="30"/>
          <w:shd w:val="clear" w:color="auto" w:fill="auto"/>
          <w:lang w:val="ru-RU" w:eastAsia="ru-RU" w:bidi="ru-RU"/>
        </w:rPr>
        <w:t xml:space="preserve"> </w:t>
      </w:r>
      <w:r>
        <w:rPr>
          <w:rStyle w:val="CharStyle12"/>
        </w:rPr>
        <w:t>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1"/>
        <w:keepNext w:val="0"/>
        <w:keepLines w:val="0"/>
        <w:widowControl w:val="0"/>
        <w:shd w:val="clear" w:color="auto" w:fill="auto"/>
        <w:bidi w:val="0"/>
        <w:spacing w:before="0" w:after="240"/>
        <w:ind w:left="0" w:right="0" w:firstLine="0"/>
        <w:jc w:val="center"/>
      </w:pPr>
      <w:r>
        <w:rPr>
          <w:color w:val="000000"/>
          <w:spacing w:val="0"/>
          <w:w w:val="100"/>
          <w:position w:val="0"/>
          <w:shd w:val="clear" w:color="auto" w:fill="auto"/>
          <w:lang w:val="ru-RU" w:eastAsia="ru-RU" w:bidi="ru-RU"/>
        </w:rPr>
        <w:t>УСТАНОВИЛА:</w:t>
      </w:r>
    </w:p>
    <w:p>
      <w:pPr>
        <w:pStyle w:val="Style11"/>
        <w:keepNext w:val="0"/>
        <w:keepLines w:val="0"/>
        <w:widowControl w:val="0"/>
        <w:shd w:val="clear" w:color="auto" w:fill="auto"/>
        <w:bidi w:val="0"/>
        <w:spacing w:before="0" w:after="0" w:line="257" w:lineRule="auto"/>
        <w:ind w:left="0" w:right="0" w:firstLine="700"/>
        <w:jc w:val="both"/>
      </w:pPr>
      <w:r>
        <w:rPr>
          <w:color w:val="000000"/>
          <w:spacing w:val="0"/>
          <w:w w:val="100"/>
          <w:position w:val="0"/>
          <w:shd w:val="clear" w:color="auto" w:fill="auto"/>
          <w:lang w:val="ru-RU" w:eastAsia="ru-RU" w:bidi="ru-RU"/>
        </w:rPr>
        <w:t>В Тверское УФАС России 07.12.2023 поступила жалоба Заявителя на действия комиссии по осуществлению закупок при проведении запроса котировок на поставку медицинских изделий (Система физиотерапевтическая для электростимуляции, с питанием от сети) (извещение от 28.11.2023 № 0136500001123007471 на официальном сайте Единой информационной системы в сфере закупок - м^улу.гакирк1.§оу.ги) (далее - Запрос котировок).</w:t>
      </w:r>
    </w:p>
    <w:p>
      <w:pPr>
        <w:pStyle w:val="Style11"/>
        <w:keepNext w:val="0"/>
        <w:keepLines w:val="0"/>
        <w:widowControl w:val="0"/>
        <w:shd w:val="clear" w:color="auto" w:fill="auto"/>
        <w:bidi w:val="0"/>
        <w:spacing w:before="0" w:after="240" w:line="257" w:lineRule="auto"/>
        <w:ind w:left="0" w:right="0" w:firstLine="700"/>
        <w:jc w:val="both"/>
      </w:pPr>
      <w:r>
        <w:rPr>
          <w:color w:val="000000"/>
          <w:spacing w:val="0"/>
          <w:w w:val="100"/>
          <w:position w:val="0"/>
          <w:shd w:val="clear" w:color="auto" w:fill="auto"/>
          <w:lang w:val="ru-RU" w:eastAsia="ru-RU" w:bidi="ru-RU"/>
        </w:rPr>
        <w:t>Согласно доводу жалобы, заявка Заявителя по указанной причине в протоколе неправомерно отклонена комиссией по осуществлению закупок.</w:t>
      </w:r>
    </w:p>
    <w:p>
      <w:pPr>
        <w:pStyle w:val="Style11"/>
        <w:keepNext w:val="0"/>
        <w:keepLines w:val="0"/>
        <w:widowControl w:val="0"/>
        <w:shd w:val="clear" w:color="auto" w:fill="auto"/>
        <w:bidi w:val="0"/>
        <w:spacing w:before="0" w:after="240" w:line="264" w:lineRule="auto"/>
        <w:ind w:left="0" w:right="0" w:firstLine="700"/>
        <w:jc w:val="both"/>
      </w:pPr>
      <w:r>
        <w:rPr>
          <w:color w:val="000000"/>
          <w:spacing w:val="0"/>
          <w:w w:val="100"/>
          <w:position w:val="0"/>
          <w:shd w:val="clear" w:color="auto" w:fill="auto"/>
          <w:lang w:val="ru-RU" w:eastAsia="ru-RU" w:bidi="ru-RU"/>
        </w:rPr>
        <w:t>Представители Заказчика и Уполномоченного органа с доводами жалобы не согласились, представили письменные пояснения.</w:t>
      </w:r>
    </w:p>
    <w:p>
      <w:pPr>
        <w:pStyle w:val="Style11"/>
        <w:keepNext w:val="0"/>
        <w:keepLines w:val="0"/>
        <w:widowControl w:val="0"/>
        <w:shd w:val="clear" w:color="auto" w:fill="auto"/>
        <w:bidi w:val="0"/>
        <w:spacing w:before="0" w:after="240" w:line="259" w:lineRule="auto"/>
        <w:ind w:left="0" w:right="0" w:firstLine="700"/>
        <w:jc w:val="both"/>
      </w:pPr>
      <w:r>
        <w:rPr>
          <w:color w:val="000000"/>
          <w:spacing w:val="0"/>
          <w:w w:val="100"/>
          <w:position w:val="0"/>
          <w:shd w:val="clear" w:color="auto" w:fill="auto"/>
          <w:lang w:val="ru-RU" w:eastAsia="ru-RU" w:bidi="ru-RU"/>
        </w:rPr>
        <w:t>Комиссия Тверского УФАС России, рассмотрев материалы дела, заслушав представителей лиц, участвовавших в заседании, приходит к следующим выводам.</w:t>
      </w:r>
    </w:p>
    <w:p>
      <w:pPr>
        <w:pStyle w:val="Style11"/>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В соответствии с извещением о проведении Запроса котировок составленным при осуществлении закупки:</w:t>
      </w:r>
    </w:p>
    <w:p>
      <w:pPr>
        <w:pStyle w:val="Style11"/>
        <w:keepNext w:val="0"/>
        <w:keepLines w:val="0"/>
        <w:widowControl w:val="0"/>
        <w:numPr>
          <w:ilvl w:val="0"/>
          <w:numId w:val="1"/>
        </w:numPr>
        <w:shd w:val="clear" w:color="auto" w:fill="auto"/>
        <w:tabs>
          <w:tab w:pos="1368" w:val="left"/>
        </w:tabs>
        <w:bidi w:val="0"/>
        <w:spacing w:before="0" w:after="0" w:line="262" w:lineRule="auto"/>
        <w:ind w:left="0" w:right="0" w:firstLine="700"/>
        <w:jc w:val="both"/>
      </w:pPr>
      <w:r>
        <w:rPr>
          <w:color w:val="000000"/>
          <w:spacing w:val="0"/>
          <w:w w:val="100"/>
          <w:position w:val="0"/>
          <w:shd w:val="clear" w:color="auto" w:fill="auto"/>
          <w:lang w:val="ru-RU" w:eastAsia="ru-RU" w:bidi="ru-RU"/>
        </w:rPr>
        <w:t>извещение о проведении Запроса котировок размещено на Официальном сайте 28.11.2023;</w:t>
      </w:r>
    </w:p>
    <w:p>
      <w:pPr>
        <w:pStyle w:val="Style11"/>
        <w:keepNext w:val="0"/>
        <w:keepLines w:val="0"/>
        <w:widowControl w:val="0"/>
        <w:numPr>
          <w:ilvl w:val="0"/>
          <w:numId w:val="1"/>
        </w:numPr>
        <w:shd w:val="clear" w:color="auto" w:fill="auto"/>
        <w:tabs>
          <w:tab w:pos="2068" w:val="left"/>
        </w:tabs>
        <w:bidi w:val="0"/>
        <w:spacing w:before="0" w:after="0" w:line="262"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- 490 000,00 рублей;</w:t>
      </w:r>
    </w:p>
    <w:p>
      <w:pPr>
        <w:pStyle w:val="Style11"/>
        <w:keepNext w:val="0"/>
        <w:keepLines w:val="0"/>
        <w:widowControl w:val="0"/>
        <w:numPr>
          <w:ilvl w:val="0"/>
          <w:numId w:val="1"/>
        </w:numPr>
        <w:shd w:val="clear" w:color="auto" w:fill="auto"/>
        <w:tabs>
          <w:tab w:pos="1368" w:val="left"/>
        </w:tabs>
        <w:bidi w:val="0"/>
        <w:spacing w:before="0" w:after="240" w:line="262" w:lineRule="auto"/>
        <w:ind w:left="0" w:right="0" w:firstLine="700"/>
        <w:jc w:val="both"/>
      </w:pPr>
      <w:r>
        <w:rPr>
          <w:color w:val="000000"/>
          <w:spacing w:val="0"/>
          <w:w w:val="100"/>
          <w:position w:val="0"/>
          <w:shd w:val="clear" w:color="auto" w:fill="auto"/>
          <w:lang w:val="ru-RU" w:eastAsia="ru-RU" w:bidi="ru-RU"/>
        </w:rPr>
        <w:t>дата окончания подачи заявок - 05.12.2023, подано две заявки, по результатам рассмотрения заявок принято решение о признании только одной заявки соответствующей требованиям.</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доводу Заявителя Комиссией по осуществлению закупок неправомерно принято решение об отклонении заявки на участие в Запросе котировок на основании пункта 1 части 12 статьи 48 Закона о контрактной системе.</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Пунктом 15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Согласно подпункту «н» пункта 1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в том числе,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w:t>
      </w:r>
      <w:r>
        <w:rPr>
          <w:color w:val="000000"/>
          <w:spacing w:val="0"/>
          <w:w w:val="100"/>
          <w:position w:val="0"/>
          <w:shd w:val="clear" w:color="auto" w:fill="auto"/>
          <w:lang w:val="ru-RU" w:eastAsia="ru-RU" w:bidi="ru-RU"/>
        </w:rPr>
        <w:t>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3 части б статьи 43 Закона о контрактной системе установлено, что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указанного закона, и предусмотренные подпунктом "н" пункта 1 части 1 статьи 43 Закона о контрактной системе, не включаются участником закупки в заявку на участие в закупке. Такие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1 части 12 статьи 48 Закона о контрактной системе предусмотрено, что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подпунктом «а» пункта 1 части 3 статьи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2 части 3 статьи 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о контрактной системе.</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2 части 3 статьи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извещении к участникам закупки установлено требование о предоставлении следующих документов и сведений:</w:t>
      </w:r>
    </w:p>
    <w:p>
      <w:pPr>
        <w:pStyle w:val="Style11"/>
        <w:keepNext w:val="0"/>
        <w:keepLines w:val="0"/>
        <w:widowControl w:val="0"/>
        <w:numPr>
          <w:ilvl w:val="0"/>
          <w:numId w:val="3"/>
        </w:numPr>
        <w:shd w:val="clear" w:color="auto" w:fill="auto"/>
        <w:tabs>
          <w:tab w:pos="898" w:val="left"/>
        </w:tabs>
        <w:bidi w:val="0"/>
        <w:spacing w:before="0" w:after="0"/>
        <w:ind w:left="0" w:right="0" w:firstLine="720"/>
        <w:jc w:val="both"/>
      </w:pPr>
      <w:r>
        <w:rPr>
          <w:color w:val="000000"/>
          <w:spacing w:val="0"/>
          <w:w w:val="100"/>
          <w:position w:val="0"/>
          <w:shd w:val="clear" w:color="auto" w:fill="auto"/>
          <w:lang w:val="ru-RU" w:eastAsia="ru-RU" w:bidi="ru-RU"/>
        </w:rPr>
        <w:t>регистрационное удостоверение на каждое медицинское изделие, зарегистрированное в рамках ЕАЭС или документ, содержащий информацию о регистрационном удостоверении на каждое медицинское изделие, зарегистрированное в рамках ЕАЭС (позволяющее однозначно идентифицировать предлагаемое к поставке медицинское изделие (реквизиты регистрационного удостоверения, наименование медицинского изделия и иные данные)</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либо</w:t>
      </w:r>
    </w:p>
    <w:p>
      <w:pPr>
        <w:pStyle w:val="Style11"/>
        <w:keepNext w:val="0"/>
        <w:keepLines w:val="0"/>
        <w:widowControl w:val="0"/>
        <w:numPr>
          <w:ilvl w:val="0"/>
          <w:numId w:val="3"/>
        </w:numPr>
        <w:shd w:val="clear" w:color="auto" w:fill="auto"/>
        <w:tabs>
          <w:tab w:pos="894" w:val="left"/>
        </w:tabs>
        <w:bidi w:val="0"/>
        <w:spacing w:before="0" w:after="0"/>
        <w:ind w:left="0" w:right="0" w:firstLine="720"/>
        <w:jc w:val="both"/>
      </w:pPr>
      <w:r>
        <w:rPr>
          <w:color w:val="000000"/>
          <w:spacing w:val="0"/>
          <w:w w:val="100"/>
          <w:position w:val="0"/>
          <w:shd w:val="clear" w:color="auto" w:fill="auto"/>
          <w:lang w:val="ru-RU" w:eastAsia="ru-RU" w:bidi="ru-RU"/>
        </w:rPr>
        <w:t xml:space="preserve">регистрационное удостоверение на каждое медицинское изделие, выданное Федеральной службой по надзору в сфере здравоохранения (Росздравнадзор) или документ, содержащий информацию о регистрационном удостоверении на каждое медицинское изделие, выданном </w:t>
      </w:r>
      <w:r>
        <w:rPr>
          <w:color w:val="000000"/>
          <w:spacing w:val="0"/>
          <w:w w:val="100"/>
          <w:position w:val="0"/>
          <w:shd w:val="clear" w:color="auto" w:fill="auto"/>
          <w:lang w:val="ru-RU" w:eastAsia="ru-RU" w:bidi="ru-RU"/>
        </w:rPr>
        <w:t>Федеральной службой по надзору в сфере здравоохранения (Росздравнадзор) (позволяющее однозначно идентифицировать предлагаемое к поставке медицинское изделие (реквизиты регистрационного удостоверения, наименование медицинского изделия и иные данные).</w:t>
      </w:r>
    </w:p>
    <w:p>
      <w:pPr>
        <w:pStyle w:val="Style11"/>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На заседании Комиссии установлено, что заявка Заявителя содержала регистрационное удостоверение № РЗН 2020/12648 от 24.11.2020.</w:t>
      </w:r>
    </w:p>
    <w:p>
      <w:pPr>
        <w:pStyle w:val="Style11"/>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 0136500001123007471 заявка Заявителя отклонена на следующем основании:</w:t>
      </w:r>
    </w:p>
    <w:p>
      <w:pPr>
        <w:pStyle w:val="Style11"/>
        <w:keepNext w:val="0"/>
        <w:keepLines w:val="0"/>
        <w:widowControl w:val="0"/>
        <w:shd w:val="clear" w:color="auto" w:fill="auto"/>
        <w:bidi w:val="0"/>
        <w:spacing w:before="0" w:after="0" w:line="254" w:lineRule="auto"/>
        <w:ind w:left="0" w:right="0" w:firstLine="720"/>
        <w:jc w:val="both"/>
      </w:pPr>
      <w:r>
        <w:rPr>
          <w:i/>
          <w:iCs/>
          <w:color w:val="000000"/>
          <w:spacing w:val="0"/>
          <w:w w:val="100"/>
          <w:position w:val="0"/>
          <w:shd w:val="clear" w:color="auto" w:fill="auto"/>
          <w:lang w:val="ru-RU" w:eastAsia="ru-RU" w:bidi="ru-RU"/>
        </w:rPr>
        <w:t>«Непредставление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(Отклонение по п. 1 ч. 12. ст. 48 Закона № 44-ФЗ) (участник закупки не представил регистрационное удостоверение на медицинское изделие, зарегистрированное в рамках ЕАЭС или документ, содержащий информацию о регистрационном удостоверении на медицинское изделие, зарегистрированное в рамках ЕАЭС (позволяющее однозначно идентифицировать предлагаемое к поставке медицинское изделие (реквизиты регистрационного удостоверения, наименование медицинского изделия и иные данные) либо регистрационное удостоверение на медицинское изделие, выданное Федеральной службой по надзору в сфере здравоохранения (Росздравнадзор) или документ, содержащий информацию о регистрационном удостоверении на медицинское изделие, выданном Федеральной службой по надзору в сфере здравоохранения (Росздравнадзор) (позволяющее однозначно идентифицировать предлагаемое к поставке медицинское изделие (реквизиты регистрационного удостоверения, наименование медицинского изделия и иные данные) (в составе заявки не представлено регистрационное удостоверение на товар, указанный в описании объекта закупки по номенклатурной классификации медицинских изделий по видам. В соответствии с информацией в описании объекта закупки и размещенной в КТРУ 26.60.13.190-00000086 данному медицинскому изделию соответствует номенклатурная классификация медицинских изделий по видам 181070. Однако, в приложенном участником закупки регистрационном удостоверении № РЗН 2020/12648 от 24.11.2020 указан следующий код вида медицинского изделия 326010.)»</w:t>
      </w:r>
    </w:p>
    <w:p>
      <w:pPr>
        <w:pStyle w:val="Style11"/>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На заседании Комиссии представитель Заказчика пояснил, что закупка размещена в целях реализации заключенного между Министерством здравоохранения Российской Федерации и Правительством Тверской области во исполнение приказа Министерства здравоохранения Российской Федерации от 31.07.2020 № 788н «Об утверждении порядка организации медицинской реабилитации взрослых»» (далее - Приказ № 788н) Соглашения о предоставлении в 2023-2025 годах субсидии из федерального бюджета бюджету Тверской области на оснащение медицинскими изделиями медицинских организаций, осуществляющих медицинскую реабилитацию от 28.12.2022 № 056-09-2023-148 (далее - Соглашение). Условием для внесения медицинских изделий в план приобретения в финансовом году является исключительно Перечень медицинских изделий в рамках Стандарта оснащения дневного стационара медицинской реабилитации (Приложение № 15 к Приказу № 788н) (далее - Стандарт). В группы медицинских изделий Стандарта: кабинет физиотерапии входит группа медицинских изделий с наименованием оборудования «Аппарат низкочастотной электротерапии микротоками переносной», наименование вида Номенклатурной классификации медицинских изделий вид медицинского изделия: «Система физиотерапевтическая для электростимуляции, с питанием от сети», код вида медицинского изделия - 181070. Нарушение условий Соглашения в части приобретения медицинского изделия с кодом вида, отличным от кода вида предусмотренного Соглашением, приведет к нарушению основополагающих принципов бюджетной системы Российской Федерации, а именно принципа адресности и целевого характера бюджетных средств. Основания для допуска участника закупки с идентификационным номером № 115489413 у комиссии по осуществлению закупки отсутствовали.</w:t>
      </w:r>
    </w:p>
    <w:p>
      <w:pPr>
        <w:pStyle w:val="Style11"/>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Указанные доводы Заказчика подлежат отклонению. Код вида медицинского изделия не относится к конкретным показателям товара (нс является качественной, эксплуатационной или технической характеристикой), соответственно регистрационное удостоверение с Отличным кодом</w:t>
        <w:br w:type="page"/>
      </w:r>
      <w:r>
        <w:rPr>
          <w:color w:val="000000"/>
          <w:spacing w:val="0"/>
          <w:w w:val="100"/>
          <w:position w:val="0"/>
          <w:shd w:val="clear" w:color="auto" w:fill="auto"/>
          <w:lang w:val="ru-RU" w:eastAsia="ru-RU" w:bidi="ru-RU"/>
        </w:rPr>
        <w:t>вида медицинского изделия не свидетельствует о поставке товара неудовлетворяющего потребность Заказчика.</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целях представления Заказчику возможности обосновать существенное отличие предложенного участником товара от закупаемого в рассмотрении жалобы объявлялся перерыв. После перерыва Заказчиком представлена сравнительная таблица аппаратов Епбошеб модели 482, СотЫтеб 2200 и аппарата ВТБ — 4000 РКЕМШМ, предложенного Заявителем жалобы.</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Из сравнительной таблицы видно, что у аппаратов имеются отдельные различия в характеристиках, но в целом они имеют одно назначение и функционал, что опровергает вывод комиссии заказчика о том, что Заявителем в составе заявки приложено регистрационное удостоверение не на систему физиотерапевтическую для электростимуляции, с питанием от сети, которая является предметом закупки.</w:t>
      </w:r>
    </w:p>
    <w:p>
      <w:pPr>
        <w:pStyle w:val="Style11"/>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При этом, несоответствие отдельных характеристик предложенного товара описанию объекта закупки не может быть проверено Комиссией Тверского УФАС России, поскольку таким образом Заявитель лишился бы права на оспаривание такого вывода комиссии заказчика.</w:t>
      </w:r>
    </w:p>
    <w:p>
      <w:pPr>
        <w:pStyle w:val="Style11"/>
        <w:keepNext w:val="0"/>
        <w:keepLines w:val="0"/>
        <w:widowControl w:val="0"/>
        <w:shd w:val="clear" w:color="auto" w:fill="auto"/>
        <w:bidi w:val="0"/>
        <w:spacing w:before="0" w:after="260"/>
        <w:ind w:left="0" w:right="0" w:firstLine="700"/>
        <w:jc w:val="both"/>
      </w:pPr>
      <w:r>
        <w:rPr>
          <w:color w:val="000000"/>
          <w:spacing w:val="0"/>
          <w:w w:val="100"/>
          <w:position w:val="0"/>
          <w:shd w:val="clear" w:color="auto" w:fill="auto"/>
          <w:lang w:val="ru-RU" w:eastAsia="ru-RU" w:bidi="ru-RU"/>
        </w:rPr>
        <w:t>Таким образом, вышеуказанные действия Комиссии по осуществлению закупок нарушают пункт 1 части 3 статьи 50 Закона о контрактной системе и содержат признаки административного правонарушения, предусмотренного частью 2 статьи 7.30 Кодекса Российской Федерации об административных правонарушениях.</w:t>
      </w:r>
    </w:p>
    <w:p>
      <w:pPr>
        <w:pStyle w:val="Style11"/>
        <w:keepNext w:val="0"/>
        <w:keepLines w:val="0"/>
        <w:widowControl w:val="0"/>
        <w:shd w:val="clear" w:color="auto" w:fill="auto"/>
        <w:bidi w:val="0"/>
        <w:spacing w:before="0" w:after="260" w:line="254"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260"/>
        <w:ind w:left="0" w:right="0" w:firstLine="0"/>
        <w:jc w:val="center"/>
      </w:pPr>
      <w:r>
        <w:rPr>
          <w:color w:val="000000"/>
          <w:spacing w:val="0"/>
          <w:w w:val="100"/>
          <w:position w:val="0"/>
          <w:shd w:val="clear" w:color="auto" w:fill="auto"/>
          <w:lang w:val="ru-RU" w:eastAsia="ru-RU" w:bidi="ru-RU"/>
        </w:rPr>
        <w:t>РЕШИЛА:</w:t>
      </w:r>
    </w:p>
    <w:p>
      <w:pPr>
        <w:pStyle w:val="Style11"/>
        <w:keepNext w:val="0"/>
        <w:keepLines w:val="0"/>
        <w:widowControl w:val="0"/>
        <w:numPr>
          <w:ilvl w:val="0"/>
          <w:numId w:val="5"/>
        </w:numPr>
        <w:shd w:val="clear" w:color="auto" w:fill="auto"/>
        <w:tabs>
          <w:tab w:pos="136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«РусМедИмпорт» обоснованной.</w:t>
      </w:r>
    </w:p>
    <w:p>
      <w:pPr>
        <w:pStyle w:val="Style11"/>
        <w:keepNext w:val="0"/>
        <w:keepLines w:val="0"/>
        <w:widowControl w:val="0"/>
        <w:numPr>
          <w:ilvl w:val="0"/>
          <w:numId w:val="5"/>
        </w:numPr>
        <w:shd w:val="clear" w:color="auto" w:fill="auto"/>
        <w:tabs>
          <w:tab w:pos="136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комиссию по осуществлению закупокЗаказчика нарушившей пункт 1 части 3 статьи 50 Закона о контрактной системе.</w:t>
      </w:r>
    </w:p>
    <w:p>
      <w:pPr>
        <w:pStyle w:val="Style11"/>
        <w:keepNext w:val="0"/>
        <w:keepLines w:val="0"/>
        <w:widowControl w:val="0"/>
        <w:numPr>
          <w:ilvl w:val="0"/>
          <w:numId w:val="5"/>
        </w:numPr>
        <w:shd w:val="clear" w:color="auto" w:fill="auto"/>
        <w:tabs>
          <w:tab w:pos="136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Заказчику, Уполномоченному органу, комиссии по осуществлению закупок, Оператору электронной площадки выдать обязательное для исполнения предписание об устранении нарушений законодательства о контрактной системе.</w:t>
      </w:r>
    </w:p>
    <w:p>
      <w:pPr>
        <w:pStyle w:val="Style11"/>
        <w:keepNext w:val="0"/>
        <w:keepLines w:val="0"/>
        <w:widowControl w:val="0"/>
        <w:numPr>
          <w:ilvl w:val="0"/>
          <w:numId w:val="5"/>
        </w:numPr>
        <w:shd w:val="clear" w:color="auto" w:fill="auto"/>
        <w:tabs>
          <w:tab w:pos="1367" w:val="left"/>
        </w:tabs>
        <w:bidi w:val="0"/>
        <w:spacing w:before="0" w:after="260" w:line="240"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Тверского УФАС России для рассмотрения вопроса о возбуждении дела об административном правонарушении по ч,2 ст.7.30 КоАП РФ.</w:t>
      </w:r>
    </w:p>
    <w:p>
      <w:pPr>
        <w:pStyle w:val="Style11"/>
        <w:keepNext w:val="0"/>
        <w:keepLines w:val="0"/>
        <w:widowControl w:val="0"/>
        <w:shd w:val="clear" w:color="auto" w:fill="auto"/>
        <w:bidi w:val="0"/>
        <w:spacing w:before="0" w:after="780"/>
        <w:ind w:left="0" w:right="0" w:firstLine="700"/>
        <w:jc w:val="both"/>
      </w:pPr>
      <w:r>
        <w:drawing>
          <wp:anchor distT="0" distB="0" distL="114300" distR="669290" simplePos="0" relativeHeight="125829378" behindDoc="0" locked="0" layoutInCell="1" allowOverlap="1">
            <wp:simplePos x="0" y="0"/>
            <wp:positionH relativeFrom="page">
              <wp:posOffset>5035550</wp:posOffset>
            </wp:positionH>
            <wp:positionV relativeFrom="paragraph">
              <wp:posOffset>660400</wp:posOffset>
            </wp:positionV>
            <wp:extent cx="1493520" cy="1639570"/>
            <wp:wrapSquare wrapText="lef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493520" cy="16395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6343015</wp:posOffset>
                </wp:positionH>
                <wp:positionV relativeFrom="paragraph">
                  <wp:posOffset>1019810</wp:posOffset>
                </wp:positionV>
                <wp:extent cx="737870" cy="179705"/>
                <wp:wrapNone/>
                <wp:docPr id="11" name="Shape 11"/>
                <a:graphic xmlns:a="http://schemas.openxmlformats.org/drawingml/2006/main">
                  <a:graphicData uri="http://schemas.microsoft.com/office/word/2010/wordprocessingShape">
                    <wps:wsp>
                      <wps:cNvSpPr txBox="1"/>
                      <wps:spPr>
                        <a:xfrm>
                          <a:ext cx="737870" cy="1797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 Мурзин</w:t>
                            </w:r>
                          </w:p>
                        </w:txbxContent>
                      </wps:txbx>
                      <wps:bodyPr lIns="0" tIns="0" rIns="0" bIns="0">
                        <a:noAutoFit/>
                      </wps:bodyPr>
                    </wps:wsp>
                  </a:graphicData>
                </a:graphic>
              </wp:anchor>
            </w:drawing>
          </mc:Choice>
          <mc:Fallback>
            <w:pict>
              <v:shape id="_x0000_s1037" type="#_x0000_t202" style="position:absolute;margin-left:499.44999999999999pt;margin-top:80.299999999999997pt;width:58.100000000000001pt;height:14.15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 Мурзин</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6035040</wp:posOffset>
                </wp:positionH>
                <wp:positionV relativeFrom="paragraph">
                  <wp:posOffset>1355090</wp:posOffset>
                </wp:positionV>
                <wp:extent cx="1042670" cy="173990"/>
                <wp:wrapNone/>
                <wp:docPr id="13" name="Shape 13"/>
                <a:graphic xmlns:a="http://schemas.openxmlformats.org/drawingml/2006/main">
                  <a:graphicData uri="http://schemas.microsoft.com/office/word/2010/wordprocessingShape">
                    <wps:wsp>
                      <wps:cNvSpPr txBox="1"/>
                      <wps:spPr>
                        <a:xfrm>
                          <a:ext cx="1042670" cy="1739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П.Д. Винницкая</w:t>
                            </w:r>
                          </w:p>
                        </w:txbxContent>
                      </wps:txbx>
                      <wps:bodyPr lIns="0" tIns="0" rIns="0" bIns="0">
                        <a:noAutoFit/>
                      </wps:bodyPr>
                    </wps:wsp>
                  </a:graphicData>
                </a:graphic>
              </wp:anchor>
            </w:drawing>
          </mc:Choice>
          <mc:Fallback>
            <w:pict>
              <v:shape id="_x0000_s1039" type="#_x0000_t202" style="position:absolute;margin-left:475.19999999999999pt;margin-top:106.7pt;width:82.100000000000009pt;height:13.700000000000001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П.Д. Винницкая</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6449695</wp:posOffset>
                </wp:positionH>
                <wp:positionV relativeFrom="paragraph">
                  <wp:posOffset>1693545</wp:posOffset>
                </wp:positionV>
                <wp:extent cx="628015" cy="173990"/>
                <wp:wrapNone/>
                <wp:docPr id="15" name="Shape 15"/>
                <a:graphic xmlns:a="http://schemas.openxmlformats.org/drawingml/2006/main">
                  <a:graphicData uri="http://schemas.microsoft.com/office/word/2010/wordprocessingShape">
                    <wps:wsp>
                      <wps:cNvSpPr txBox="1"/>
                      <wps:spPr>
                        <a:xfrm>
                          <a:ext cx="628015" cy="1739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2"/>
                                <w:szCs w:val="22"/>
                                <w:shd w:val="clear" w:color="auto" w:fill="auto"/>
                                <w:lang w:val="ru-RU" w:eastAsia="ru-RU" w:bidi="ru-RU"/>
                              </w:rPr>
                              <w:t>.07</w:t>
                            </w:r>
                            <w:r>
                              <w:rPr>
                                <w:color w:val="000000"/>
                                <w:spacing w:val="0"/>
                                <w:w w:val="100"/>
                                <w:position w:val="0"/>
                                <w:shd w:val="clear" w:color="auto" w:fill="auto"/>
                                <w:lang w:val="ru-RU" w:eastAsia="ru-RU" w:bidi="ru-RU"/>
                              </w:rPr>
                              <w:t>Быков</w:t>
                            </w:r>
                          </w:p>
                        </w:txbxContent>
                      </wps:txbx>
                      <wps:bodyPr lIns="0" tIns="0" rIns="0" bIns="0">
                        <a:noAutoFit/>
                      </wps:bodyPr>
                    </wps:wsp>
                  </a:graphicData>
                </a:graphic>
              </wp:anchor>
            </w:drawing>
          </mc:Choice>
          <mc:Fallback>
            <w:pict>
              <v:shape id="_x0000_s1041" type="#_x0000_t202" style="position:absolute;margin-left:507.85000000000002pt;margin-top:133.34999999999999pt;width:49.450000000000003pt;height:13.700000000000001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2"/>
                          <w:szCs w:val="22"/>
                          <w:shd w:val="clear" w:color="auto" w:fill="auto"/>
                          <w:lang w:val="ru-RU" w:eastAsia="ru-RU" w:bidi="ru-RU"/>
                        </w:rPr>
                        <w:t>.07</w:t>
                      </w:r>
                      <w:r>
                        <w:rPr>
                          <w:color w:val="000000"/>
                          <w:spacing w:val="0"/>
                          <w:w w:val="100"/>
                          <w:position w:val="0"/>
                          <w:shd w:val="clear" w:color="auto" w:fill="auto"/>
                          <w:lang w:val="ru-RU" w:eastAsia="ru-RU" w:bidi="ru-RU"/>
                        </w:rPr>
                        <w:t>Быков</w:t>
                      </w:r>
                    </w:p>
                  </w:txbxContent>
                </v:textbox>
                <w10:wrap anchorx="page"/>
              </v:shape>
            </w:pict>
          </mc:Fallback>
        </mc:AlternateContent>
      </w:r>
      <w:r>
        <w:rPr>
          <w:color w:val="000000"/>
          <w:spacing w:val="0"/>
          <w:w w:val="100"/>
          <w:position w:val="0"/>
          <w:shd w:val="clear" w:color="auto" w:fill="auto"/>
          <w:lang w:val="ru-RU" w:eastAsia="ru-RU" w:bidi="ru-RU"/>
        </w:rPr>
        <w:t>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w:t>
      </w:r>
    </w:p>
    <w:p>
      <w:pPr>
        <w:pStyle w:val="Style11"/>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11"/>
        <w:keepNext w:val="0"/>
        <w:keepLines w:val="0"/>
        <w:widowControl w:val="0"/>
        <w:shd w:val="clear" w:color="auto" w:fill="auto"/>
        <w:bidi w:val="0"/>
        <w:spacing w:before="0" w:after="150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Исп.Винницкая П.Д.</w:t>
      </w:r>
    </w:p>
    <w:p>
      <w:pPr>
        <w:pStyle w:val="Style2"/>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тел.8(4822) 34-24-31, вн. 069-113</w:t>
      </w:r>
    </w:p>
    <w:sectPr>
      <w:footnotePr>
        <w:pos w:val="pageBottom"/>
        <w:numFmt w:val="decimal"/>
        <w:numRestart w:val="continuous"/>
      </w:footnotePr>
      <w:type w:val="continuous"/>
      <w:pgSz w:w="11900" w:h="16840"/>
      <w:pgMar w:top="1923" w:right="636" w:bottom="1592" w:left="134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890270</wp:posOffset>
              </wp:positionH>
              <wp:positionV relativeFrom="page">
                <wp:posOffset>9825990</wp:posOffset>
              </wp:positionV>
              <wp:extent cx="679450" cy="103505"/>
              <wp:wrapNone/>
              <wp:docPr id="5" name="Shape 5"/>
              <a:graphic xmlns:a="http://schemas.openxmlformats.org/drawingml/2006/main">
                <a:graphicData uri="http://schemas.microsoft.com/office/word/2010/wordprocessingShape">
                  <wps:wsp>
                    <wps:cNvSpPr txBox="1"/>
                    <wps:spPr>
                      <a:xfrm>
                        <a:ext cx="67945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2023-11411</w:t>
                          </w:r>
                        </w:p>
                      </w:txbxContent>
                    </wps:txbx>
                    <wps:bodyPr wrap="none" lIns="0" tIns="0" rIns="0" bIns="0">
                      <a:spAutoFit/>
                    </wps:bodyPr>
                  </wps:wsp>
                </a:graphicData>
              </a:graphic>
            </wp:anchor>
          </w:drawing>
        </mc:Choice>
        <mc:Fallback>
          <w:pict>
            <v:shape id="_x0000_s1031" type="#_x0000_t202" style="position:absolute;margin-left:70.100000000000009pt;margin-top:773.70000000000005pt;width:53.5pt;height:8.1500000000000004pt;z-index:-188744060;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2023-11411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1012190</wp:posOffset>
              </wp:positionH>
              <wp:positionV relativeFrom="page">
                <wp:posOffset>9665970</wp:posOffset>
              </wp:positionV>
              <wp:extent cx="679450" cy="103505"/>
              <wp:wrapNone/>
              <wp:docPr id="7" name="Shape 7"/>
              <a:graphic xmlns:a="http://schemas.openxmlformats.org/drawingml/2006/main">
                <a:graphicData uri="http://schemas.microsoft.com/office/word/2010/wordprocessingShape">
                  <wps:wsp>
                    <wps:cNvSpPr txBox="1"/>
                    <wps:spPr>
                      <a:xfrm>
                        <a:ext cx="679450"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2023-11411</w:t>
                          </w:r>
                        </w:p>
                      </w:txbxContent>
                    </wps:txbx>
                    <wps:bodyPr wrap="none" lIns="0" tIns="0" rIns="0" bIns="0">
                      <a:spAutoFit/>
                    </wps:bodyPr>
                  </wps:wsp>
                </a:graphicData>
              </a:graphic>
            </wp:anchor>
          </w:drawing>
        </mc:Choice>
        <mc:Fallback>
          <w:pict>
            <v:shape id="_x0000_s1033" type="#_x0000_t202" style="position:absolute;margin-left:79.700000000000003pt;margin-top:761.10000000000002pt;width:53.5pt;height:8.1500000000000004pt;z-index:-188744058;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2023-11411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3965575</wp:posOffset>
              </wp:positionH>
              <wp:positionV relativeFrom="page">
                <wp:posOffset>910590</wp:posOffset>
              </wp:positionV>
              <wp:extent cx="64135" cy="100330"/>
              <wp:wrapNone/>
              <wp:docPr id="3" name="Shape 3"/>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12.25pt;margin-top:71.700000000000003pt;width:5.0499999999999998pt;height:7.9000000000000004pt;z-index:-188744062;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5"/>
      <w:szCs w:val="15"/>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18"/>
      <w:szCs w:val="18"/>
      <w:u w:val="none"/>
    </w:rPr>
  </w:style>
  <w:style w:type="character" w:customStyle="1" w:styleId="CharStyle9">
    <w:name w:val="Заголовок №1_"/>
    <w:basedOn w:val="DefaultParagraphFont"/>
    <w:link w:val="Style8"/>
    <w:rPr>
      <w:rFonts w:ascii="Times New Roman" w:eastAsia="Times New Roman" w:hAnsi="Times New Roman" w:cs="Times New Roman"/>
      <w:b w:val="0"/>
      <w:bCs w:val="0"/>
      <w:i w:val="0"/>
      <w:iCs w:val="0"/>
      <w:smallCaps w:val="0"/>
      <w:strike w:val="0"/>
      <w:color w:val="120C79"/>
      <w:sz w:val="38"/>
      <w:szCs w:val="38"/>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sz w:val="22"/>
      <w:szCs w:val="22"/>
      <w:u w:val="none"/>
    </w:rPr>
  </w:style>
  <w:style w:type="character" w:customStyle="1" w:styleId="CharStyle21">
    <w:name w:val="Заголовок №2_"/>
    <w:basedOn w:val="DefaultParagraphFont"/>
    <w:link w:val="Style20"/>
    <w:rPr>
      <w:rFonts w:ascii="Arial" w:eastAsia="Arial" w:hAnsi="Arial" w:cs="Arial"/>
      <w:b w:val="0"/>
      <w:bCs w:val="0"/>
      <w:i w:val="0"/>
      <w:iCs w:val="0"/>
      <w:smallCaps w:val="0"/>
      <w:strike w:val="0"/>
      <w:sz w:val="30"/>
      <w:szCs w:val="30"/>
      <w:u w:val="none"/>
    </w:rPr>
  </w:style>
  <w:style w:type="paragraph" w:customStyle="1" w:styleId="Style2">
    <w:name w:val="Основной текст (2)"/>
    <w:basedOn w:val="Normal"/>
    <w:link w:val="CharStyle3"/>
    <w:pPr>
      <w:widowControl w:val="0"/>
      <w:shd w:val="clear" w:color="auto" w:fill="auto"/>
      <w:spacing w:after="60" w:line="305"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5">
    <w:name w:val="Основной текст (3)"/>
    <w:basedOn w:val="Normal"/>
    <w:link w:val="CharStyle6"/>
    <w:pPr>
      <w:widowControl w:val="0"/>
      <w:shd w:val="clear" w:color="auto" w:fill="auto"/>
      <w:spacing w:after="180" w:line="257" w:lineRule="auto"/>
      <w:jc w:val="center"/>
    </w:pPr>
    <w:rPr>
      <w:rFonts w:ascii="Times New Roman" w:eastAsia="Times New Roman" w:hAnsi="Times New Roman" w:cs="Times New Roman"/>
      <w:b w:val="0"/>
      <w:bCs w:val="0"/>
      <w:i w:val="0"/>
      <w:iCs w:val="0"/>
      <w:smallCaps w:val="0"/>
      <w:strike w:val="0"/>
      <w:sz w:val="18"/>
      <w:szCs w:val="18"/>
      <w:u w:val="none"/>
    </w:rPr>
  </w:style>
  <w:style w:type="paragraph" w:customStyle="1" w:styleId="Style8">
    <w:name w:val="Заголовок №1"/>
    <w:basedOn w:val="Normal"/>
    <w:link w:val="CharStyle9"/>
    <w:pPr>
      <w:widowControl w:val="0"/>
      <w:shd w:val="clear" w:color="auto" w:fill="auto"/>
      <w:outlineLvl w:val="0"/>
    </w:pPr>
    <w:rPr>
      <w:rFonts w:ascii="Times New Roman" w:eastAsia="Times New Roman" w:hAnsi="Times New Roman" w:cs="Times New Roman"/>
      <w:b w:val="0"/>
      <w:bCs w:val="0"/>
      <w:i w:val="0"/>
      <w:iCs w:val="0"/>
      <w:smallCaps w:val="0"/>
      <w:strike w:val="0"/>
      <w:color w:val="120C79"/>
      <w:sz w:val="38"/>
      <w:szCs w:val="38"/>
      <w:u w:val="none"/>
    </w:rPr>
  </w:style>
  <w:style w:type="paragraph" w:customStyle="1" w:styleId="Style11">
    <w:name w:val="Основной текст"/>
    <w:basedOn w:val="Normal"/>
    <w:link w:val="CharStyle12"/>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Подпись к картинке"/>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0">
    <w:name w:val="Заголовок №2"/>
    <w:basedOn w:val="Normal"/>
    <w:link w:val="CharStyle21"/>
    <w:pPr>
      <w:widowControl w:val="0"/>
      <w:shd w:val="clear" w:color="auto" w:fill="auto"/>
      <w:spacing w:after="260"/>
      <w:outlineLvl w:val="1"/>
    </w:pPr>
    <w:rPr>
      <w:rFonts w:ascii="Arial" w:eastAsia="Arial" w:hAnsi="Arial" w:cs="Arial"/>
      <w:b w:val="0"/>
      <w:bCs w:val="0"/>
      <w:i w:val="0"/>
      <w:iCs w:val="0"/>
      <w:smallCaps w:val="0"/>
      <w:strike w:val="0"/>
      <w:sz w:val="30"/>
      <w:szCs w:val="3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