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164080" distL="1165860" distR="1108075" simplePos="0" relativeHeight="125829378" behindDoc="0" locked="0" layoutInCell="1" allowOverlap="1">
            <wp:simplePos x="0" y="0"/>
            <wp:positionH relativeFrom="page">
              <wp:posOffset>1775460</wp:posOffset>
            </wp:positionH>
            <wp:positionV relativeFrom="paragraph">
              <wp:posOffset>12700</wp:posOffset>
            </wp:positionV>
            <wp:extent cx="536575" cy="615950"/>
            <wp:wrapSquare wrapText="bothSides"/>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560705" distL="312420" distR="245745" simplePos="0" relativeHeight="125829379" behindDoc="0" locked="0" layoutInCell="1" allowOverlap="1">
                <wp:simplePos x="0" y="0"/>
                <wp:positionH relativeFrom="page">
                  <wp:posOffset>922020</wp:posOffset>
                </wp:positionH>
                <wp:positionV relativeFrom="paragraph">
                  <wp:posOffset>728980</wp:posOffset>
                </wp:positionV>
                <wp:extent cx="2249170" cy="1499870"/>
                <wp:wrapSquare wrapText="bothSides"/>
                <wp:docPr id="3" name="Shape 3"/>
                <a:graphic xmlns:a="http://schemas.openxmlformats.org/drawingml/2006/main">
                  <a:graphicData uri="http://schemas.microsoft.com/office/word/2010/wordprocessingShape">
                    <wps:wsp>
                      <wps:cNvSpPr txBox="1"/>
                      <wps:spPr>
                        <a:xfrm>
                          <a:ext cx="2249170" cy="1499870"/>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Ростовской области</w:t>
                            </w:r>
                          </w:p>
                          <w:p>
                            <w:pPr>
                              <w:pStyle w:val="Style2"/>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пр. Ворошиловский, 2/2, офис 403</w:t>
                              <w:br/>
                              <w:t>г. Ростов-на-Дону, 344006</w:t>
                              <w:br/>
                              <w:t>тел. (863) 263-31-04, факс (863) 240-99-59</w:t>
                              <w:br/>
                              <w:t>е-тай: 1о61@Га5.§оу.П1</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72.600000000000009pt;margin-top:57.399999999999999pt;width:177.09999999999999pt;height:118.10000000000001pt;z-index:-125829374;mso-wrap-distance-left:24.600000000000001pt;mso-wrap-distance-top:56.399999999999999pt;mso-wrap-distance-right:19.350000000000001pt;mso-wrap-distance-bottom:44.149999999999999pt;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Ростовской области</w:t>
                      </w:r>
                    </w:p>
                    <w:p>
                      <w:pPr>
                        <w:pStyle w:val="Style2"/>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пр. Ворошиловский, 2/2, офис 403</w:t>
                        <w:br/>
                        <w:t>г. Ростов-на-Дону, 344006</w:t>
                        <w:br/>
                        <w:t>тел. (863) 263-31-04, факс (863) 240-99-59</w:t>
                        <w:br/>
                        <w:t>е-тай: 1о61@Га5.§оу.П1</w:t>
                      </w:r>
                    </w:p>
                  </w:txbxContent>
                </v:textbox>
                <w10:wrap type="square" anchorx="page"/>
              </v:shape>
            </w:pict>
          </mc:Fallback>
        </mc:AlternateContent>
      </w:r>
      <w:r>
        <w:drawing>
          <wp:anchor distT="2270760" distB="307975" distL="181610" distR="1507490" simplePos="0" relativeHeight="125829381" behindDoc="0" locked="0" layoutInCell="1" allowOverlap="1">
            <wp:simplePos x="0" y="0"/>
            <wp:positionH relativeFrom="page">
              <wp:posOffset>791210</wp:posOffset>
            </wp:positionH>
            <wp:positionV relativeFrom="paragraph">
              <wp:posOffset>2283460</wp:posOffset>
            </wp:positionV>
            <wp:extent cx="1121410" cy="201295"/>
            <wp:wrapSquare wrapText="bothSides"/>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1121410" cy="20129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723900</wp:posOffset>
                </wp:positionH>
                <wp:positionV relativeFrom="paragraph">
                  <wp:posOffset>2627630</wp:posOffset>
                </wp:positionV>
                <wp:extent cx="2578735" cy="161290"/>
                <wp:wrapNone/>
                <wp:docPr id="7" name="Shape 7"/>
                <a:graphic xmlns:a="http://schemas.openxmlformats.org/drawingml/2006/main">
                  <a:graphicData uri="http://schemas.microsoft.com/office/word/2010/wordprocessingShape">
                    <wps:wsp>
                      <wps:cNvSpPr txBox="1"/>
                      <wps:spPr>
                        <a:xfrm>
                          <a:ext cx="2578735" cy="16129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На№  от </w:t>
                            </w:r>
                          </w:p>
                        </w:txbxContent>
                      </wps:txbx>
                      <wps:bodyPr lIns="0" tIns="0" rIns="0" bIns="0">
                        <a:noAutoFit/>
                      </wps:bodyPr>
                    </wps:wsp>
                  </a:graphicData>
                </a:graphic>
              </wp:anchor>
            </w:drawing>
          </mc:Choice>
          <mc:Fallback>
            <w:pict>
              <v:shape id="_x0000_s1033" type="#_x0000_t202" style="position:absolute;margin-left:57.pt;margin-top:206.90000000000001pt;width:203.05000000000001pt;height:12.700000000000001pt;z-index:251657729;mso-wrap-distance-left:0;mso-wrap-distance-right:0;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На№  от </w:t>
                      </w:r>
                    </w:p>
                  </w:txbxContent>
                </v:textbox>
                <w10:wrap anchorx="page"/>
              </v:shape>
            </w:pict>
          </mc:Fallback>
        </mc:AlternateContent>
      </w:r>
    </w:p>
    <w:p>
      <w:pPr>
        <w:pStyle w:val="Style9"/>
        <w:keepNext w:val="0"/>
        <w:keepLines w:val="0"/>
        <w:widowControl w:val="0"/>
        <w:shd w:val="clear" w:color="auto" w:fill="auto"/>
        <w:bidi w:val="0"/>
        <w:spacing w:before="0" w:after="0" w:line="240" w:lineRule="auto"/>
        <w:ind w:left="1040" w:right="0" w:firstLine="0"/>
        <w:jc w:val="left"/>
      </w:pPr>
      <w:r>
        <w:rPr>
          <w:color w:val="000000"/>
          <w:spacing w:val="0"/>
          <w:w w:val="100"/>
          <w:position w:val="0"/>
          <w:sz w:val="24"/>
          <w:szCs w:val="24"/>
          <w:shd w:val="clear" w:color="auto" w:fill="auto"/>
          <w:lang w:val="ru-RU" w:eastAsia="ru-RU" w:bidi="ru-RU"/>
        </w:rPr>
        <w:t>Министерство транспорта Ростовской области 344019, г. Ростов-на-Дону, ул. Нижегородская, д.20/11</w:t>
      </w:r>
    </w:p>
    <w:p>
      <w:pPr>
        <w:pStyle w:val="Style9"/>
        <w:keepNext w:val="0"/>
        <w:keepLines w:val="0"/>
        <w:widowControl w:val="0"/>
        <w:shd w:val="clear" w:color="auto" w:fill="auto"/>
        <w:bidi w:val="0"/>
        <w:spacing w:before="0" w:after="240" w:line="240" w:lineRule="auto"/>
        <w:ind w:left="1040" w:right="0" w:firstLine="0"/>
        <w:jc w:val="left"/>
      </w:pPr>
      <w:r>
        <w:rPr>
          <w:color w:val="000000"/>
          <w:spacing w:val="0"/>
          <w:w w:val="100"/>
          <w:position w:val="0"/>
          <w:sz w:val="24"/>
          <w:szCs w:val="24"/>
          <w:shd w:val="clear" w:color="auto" w:fill="auto"/>
          <w:lang w:val="ru-RU" w:eastAsia="ru-RU" w:bidi="ru-RU"/>
        </w:rPr>
        <w:t>хакиркЁтт1гап8@доп1апд.ш</w:t>
      </w:r>
    </w:p>
    <w:p>
      <w:pPr>
        <w:pStyle w:val="Style9"/>
        <w:keepNext w:val="0"/>
        <w:keepLines w:val="0"/>
        <w:widowControl w:val="0"/>
        <w:shd w:val="clear" w:color="auto" w:fill="auto"/>
        <w:bidi w:val="0"/>
        <w:spacing w:before="0" w:after="240" w:line="240" w:lineRule="auto"/>
        <w:ind w:left="1040" w:right="0" w:firstLine="0"/>
        <w:jc w:val="left"/>
      </w:pPr>
      <w:r>
        <w:rPr>
          <w:color w:val="000000"/>
          <w:spacing w:val="0"/>
          <w:w w:val="100"/>
          <w:position w:val="0"/>
          <w:sz w:val="24"/>
          <w:szCs w:val="24"/>
          <w:shd w:val="clear" w:color="auto" w:fill="auto"/>
          <w:lang w:val="ru-RU" w:eastAsia="ru-RU" w:bidi="ru-RU"/>
        </w:rPr>
        <w:t>АО «ЕЭТП» ко@гозе11огд.ш</w:t>
      </w:r>
    </w:p>
    <w:p>
      <w:pPr>
        <w:pStyle w:val="Style9"/>
        <w:keepNext w:val="0"/>
        <w:keepLines w:val="0"/>
        <w:widowControl w:val="0"/>
        <w:shd w:val="clear" w:color="auto" w:fill="auto"/>
        <w:bidi w:val="0"/>
        <w:spacing w:before="0" w:after="0" w:line="240" w:lineRule="auto"/>
        <w:ind w:left="1040" w:right="0" w:firstLine="0"/>
        <w:jc w:val="left"/>
      </w:pPr>
      <w:r>
        <w:rPr>
          <w:color w:val="000000"/>
          <w:spacing w:val="0"/>
          <w:w w:val="100"/>
          <w:position w:val="0"/>
          <w:sz w:val="24"/>
          <w:szCs w:val="24"/>
          <w:shd w:val="clear" w:color="auto" w:fill="auto"/>
          <w:lang w:val="ru-RU" w:eastAsia="ru-RU" w:bidi="ru-RU"/>
        </w:rPr>
        <w:t>ООО "Юнирост"</w:t>
      </w:r>
    </w:p>
    <w:p>
      <w:pPr>
        <w:pStyle w:val="Style9"/>
        <w:keepNext w:val="0"/>
        <w:keepLines w:val="0"/>
        <w:widowControl w:val="0"/>
        <w:shd w:val="clear" w:color="auto" w:fill="auto"/>
        <w:bidi w:val="0"/>
        <w:spacing w:before="0" w:after="0" w:line="240" w:lineRule="auto"/>
        <w:ind w:left="1040" w:right="0" w:firstLine="0"/>
        <w:jc w:val="left"/>
      </w:pPr>
      <w:r>
        <w:rPr>
          <w:color w:val="000000"/>
          <w:spacing w:val="0"/>
          <w:w w:val="100"/>
          <w:position w:val="0"/>
          <w:sz w:val="24"/>
          <w:szCs w:val="24"/>
          <w:shd w:val="clear" w:color="auto" w:fill="auto"/>
          <w:lang w:val="ru-RU" w:eastAsia="ru-RU" w:bidi="ru-RU"/>
        </w:rPr>
        <w:t>129515, г. Москва, ул. Академика Королева, д.13,стр.1, оф.825</w:t>
      </w:r>
    </w:p>
    <w:p>
      <w:pPr>
        <w:pStyle w:val="Style9"/>
        <w:keepNext w:val="0"/>
        <w:keepLines w:val="0"/>
        <w:widowControl w:val="0"/>
        <w:shd w:val="clear" w:color="auto" w:fill="auto"/>
        <w:bidi w:val="0"/>
        <w:spacing w:before="0" w:after="0" w:line="240" w:lineRule="auto"/>
        <w:ind w:left="1040" w:right="0" w:firstLine="0"/>
        <w:jc w:val="left"/>
        <w:sectPr>
          <w:footerReference w:type="default" r:id="rId9"/>
          <w:footerReference w:type="first" r:id="rId10"/>
          <w:footnotePr>
            <w:pos w:val="pageBottom"/>
            <w:numFmt w:val="decimal"/>
            <w:numRestart w:val="continuous"/>
          </w:footnotePr>
          <w:pgSz w:w="11900" w:h="16840"/>
          <w:pgMar w:top="284" w:right="536" w:bottom="1313" w:left="4994" w:header="0" w:footer="3" w:gutter="0"/>
          <w:pgNumType w:start="1"/>
          <w:cols w:space="720"/>
          <w:noEndnote/>
          <w:titlePg/>
          <w:rtlGutter w:val="0"/>
          <w:docGrid w:linePitch="360"/>
        </w:sectPr>
      </w:pPr>
      <w:r>
        <w:rPr>
          <w:color w:val="000000"/>
          <w:spacing w:val="0"/>
          <w:w w:val="100"/>
          <w:position w:val="0"/>
          <w:sz w:val="24"/>
          <w:szCs w:val="24"/>
          <w:shd w:val="clear" w:color="auto" w:fill="auto"/>
          <w:lang w:val="ru-RU" w:eastAsia="ru-RU" w:bidi="ru-RU"/>
        </w:rPr>
        <w:t>1епдег@ишго81.ш</w:t>
      </w:r>
    </w:p>
    <w:p>
      <w:pPr>
        <w:widowControl w:val="0"/>
        <w:spacing w:before="99" w:after="9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84" w:right="0" w:bottom="1216" w:left="0" w:header="0" w:footer="3" w:gutter="0"/>
          <w:cols w:space="720"/>
          <w:noEndnote/>
          <w:rtlGutter w:val="0"/>
          <w:docGrid w:linePitch="360"/>
        </w:sectPr>
      </w:pPr>
    </w:p>
    <w:p>
      <w:pPr>
        <w:widowControl w:val="0"/>
        <w:spacing w:after="282" w:line="1" w:lineRule="exact"/>
      </w:pPr>
      <w:r>
        <w:drawing>
          <wp:anchor distT="0" distB="0" distL="0" distR="0" simplePos="0" relativeHeight="62914694" behindDoc="1" locked="0" layoutInCell="1" allowOverlap="1">
            <wp:simplePos x="0" y="0"/>
            <wp:positionH relativeFrom="page">
              <wp:posOffset>727075</wp:posOffset>
            </wp:positionH>
            <wp:positionV relativeFrom="paragraph">
              <wp:posOffset>12700</wp:posOffset>
            </wp:positionV>
            <wp:extent cx="2597150" cy="182880"/>
            <wp:wrapNone/>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1"/>
                    <a:stretch/>
                  </pic:blipFill>
                  <pic:spPr>
                    <a:xfrm>
                      <a:ext cx="2597150" cy="182880"/>
                    </a:xfrm>
                    <a:prstGeom prst="rect"/>
                  </pic:spPr>
                </pic:pic>
              </a:graphicData>
            </a:graphic>
          </wp:anchor>
        </w:drawing>
      </w:r>
    </w:p>
    <w:p>
      <w:pPr>
        <w:widowControl w:val="0"/>
        <w:spacing w:line="1" w:lineRule="exact"/>
        <w:sectPr>
          <w:footnotePr>
            <w:pos w:val="pageBottom"/>
            <w:numFmt w:val="decimal"/>
            <w:numRestart w:val="continuous"/>
          </w:footnotePr>
          <w:type w:val="continuous"/>
          <w:pgSz w:w="11900" w:h="16840"/>
          <w:pgMar w:top="284" w:right="536" w:bottom="1216" w:left="1106" w:header="0" w:footer="3" w:gutter="0"/>
          <w:cols w:space="720"/>
          <w:noEndnote/>
          <w:rtlGutter w:val="0"/>
          <w:docGrid w:linePitch="360"/>
        </w:sectPr>
      </w:pPr>
    </w:p>
    <w:p>
      <w:pPr>
        <w:widowControl w:val="0"/>
        <w:spacing w:before="77" w:after="77"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027" w:right="0" w:bottom="1195" w:left="0" w:header="0" w:footer="3" w:gutter="0"/>
          <w:cols w:space="720"/>
          <w:noEndnote/>
          <w:rtlGutter w:val="0"/>
          <w:docGrid w:linePitch="360"/>
        </w:sectPr>
      </w:pPr>
    </w:p>
    <w:p>
      <w:pPr>
        <w:pStyle w:val="Style9"/>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ru-RU" w:eastAsia="ru-RU" w:bidi="ru-RU"/>
        </w:rPr>
        <w:t>РЕШЕНИЕ</w:t>
        <w:br/>
        <w:t>по результатам рассмотрения дела</w:t>
        <w:br/>
        <w:t>№061/06/49-4491/2023</w:t>
      </w:r>
    </w:p>
    <w:p>
      <w:pPr>
        <w:pStyle w:val="Style9"/>
        <w:keepNext w:val="0"/>
        <w:keepLines w:val="0"/>
        <w:widowControl w:val="0"/>
        <w:shd w:val="clear" w:color="auto" w:fill="auto"/>
        <w:tabs>
          <w:tab w:pos="8182" w:val="left"/>
        </w:tabs>
        <w:bidi w:val="0"/>
        <w:spacing w:before="0" w:after="220" w:line="240" w:lineRule="auto"/>
        <w:ind w:left="0" w:right="0" w:firstLine="0"/>
        <w:jc w:val="both"/>
      </w:pPr>
      <w:r>
        <w:rPr>
          <w:color w:val="000000"/>
          <w:spacing w:val="0"/>
          <w:w w:val="100"/>
          <w:position w:val="0"/>
          <w:sz w:val="24"/>
          <w:szCs w:val="24"/>
          <w:shd w:val="clear" w:color="auto" w:fill="auto"/>
          <w:lang w:val="ru-RU" w:eastAsia="ru-RU" w:bidi="ru-RU"/>
        </w:rPr>
        <w:t>14.12.2023</w:t>
        <w:tab/>
        <w:t>г. Ростов-на-Дону</w:t>
      </w:r>
    </w:p>
    <w:p>
      <w:pPr>
        <w:pStyle w:val="Style9"/>
        <w:keepNext w:val="0"/>
        <w:keepLines w:val="0"/>
        <w:widowControl w:val="0"/>
        <w:shd w:val="clear" w:color="auto" w:fill="auto"/>
        <w:tabs>
          <w:tab w:pos="8182"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в сфере закупок в составе: Председатель Комиссии:</w:t>
        <w:tab/>
        <w:t>М.А. Благодарев,</w:t>
      </w:r>
    </w:p>
    <w:p>
      <w:pPr>
        <w:pStyle w:val="Style9"/>
        <w:keepNext w:val="0"/>
        <w:keepLines w:val="0"/>
        <w:widowControl w:val="0"/>
        <w:shd w:val="clear" w:color="auto" w:fill="auto"/>
        <w:tabs>
          <w:tab w:pos="8182" w:val="left"/>
        </w:tabs>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tab/>
        <w:t>С.А. Евстратова,</w:t>
      </w:r>
    </w:p>
    <w:p>
      <w:pPr>
        <w:pStyle w:val="Style9"/>
        <w:keepNext w:val="0"/>
        <w:keepLines w:val="0"/>
        <w:widowControl w:val="0"/>
        <w:shd w:val="clear" w:color="auto" w:fill="auto"/>
        <w:bidi w:val="0"/>
        <w:spacing w:before="0" w:after="220" w:line="240" w:lineRule="auto"/>
        <w:ind w:left="0" w:right="0" w:firstLine="8320"/>
        <w:jc w:val="both"/>
      </w:pPr>
      <w:r>
        <w:rPr>
          <w:color w:val="000000"/>
          <w:spacing w:val="0"/>
          <w:w w:val="100"/>
          <w:position w:val="0"/>
          <w:sz w:val="24"/>
          <w:szCs w:val="24"/>
          <w:shd w:val="clear" w:color="auto" w:fill="auto"/>
          <w:lang w:val="ru-RU" w:eastAsia="ru-RU" w:bidi="ru-RU"/>
        </w:rPr>
        <w:t>В.Д. Кириленко, рассмотрев дело № 061/06/49-4491/2023 по жалобе ООО «Юнирост» (далее — Заявитель) о нарушении аукционной комиссией министерства транспорта Ростовской области (далее - Заказчик) при проведении при проведении электронного аукциона №0158200000523000095 «Выполнение работ по строительному контролю на объекте: «Реконструкция автомобильной дороги общего пользования регионального значения г. Ростов-на-Дону (от магистрали «Дон») - г. Ставрополь (до границы Ставропольского края) на участке км 142+000 - км 147+000 в Песчанокопском районе» норм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(ВКС) при участии представителя Заявителя — Култаева О.Ю. (доверенность от 19.07.2023), представителя Заказчика — Новиковой М.А. (доверенность от 18.01.2023),</w:t>
      </w:r>
    </w:p>
    <w:p>
      <w:pPr>
        <w:pStyle w:val="Style9"/>
        <w:keepNext w:val="0"/>
        <w:keepLines w:val="0"/>
        <w:widowControl w:val="0"/>
        <w:shd w:val="clear" w:color="auto" w:fill="auto"/>
        <w:bidi w:val="0"/>
        <w:spacing w:before="0" w:after="220" w:line="240" w:lineRule="auto"/>
        <w:ind w:left="0" w:right="0" w:firstLine="0"/>
        <w:jc w:val="center"/>
      </w:pPr>
      <w:r>
        <w:rPr>
          <w:b/>
          <w:bCs/>
          <w:color w:val="000000"/>
          <w:spacing w:val="0"/>
          <w:w w:val="100"/>
          <w:position w:val="0"/>
          <w:sz w:val="24"/>
          <w:szCs w:val="24"/>
          <w:shd w:val="clear" w:color="auto" w:fill="auto"/>
          <w:lang w:val="ru-RU" w:eastAsia="ru-RU" w:bidi="ru-RU"/>
        </w:rPr>
        <w:t>УСТАНОВИЛА:</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Ростовское УФАС России поступила жалоба заявителя на действия аукционной комиссии министерства транспорта Ростовской области.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Заказчик в возражениях на жалобу:</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-отрицал нарушения Закона в действиях аукционной комиссии;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-представил пояснения по доводу жалобы.</w:t>
      </w:r>
    </w:p>
    <w:p>
      <w:pPr>
        <w:pStyle w:val="Style9"/>
        <w:keepNext w:val="0"/>
        <w:keepLines w:val="0"/>
        <w:widowControl w:val="0"/>
        <w:shd w:val="clear" w:color="auto" w:fill="auto"/>
        <w:bidi w:val="0"/>
        <w:spacing w:before="0" w:after="22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ч.ч.1,3 ст.99 Закона в ходе рассмотрения дела установлено следующее.</w:t>
      </w:r>
    </w:p>
    <w:p>
      <w:pPr>
        <w:widowControl w:val="0"/>
        <w:spacing w:line="1" w:lineRule="exact"/>
      </w:pPr>
      <w:r>
        <w:drawing>
          <wp:anchor distT="50800" distB="0" distL="0" distR="0" simplePos="0" relativeHeight="125829382" behindDoc="0" locked="0" layoutInCell="1" allowOverlap="1">
            <wp:simplePos x="0" y="0"/>
            <wp:positionH relativeFrom="page">
              <wp:posOffset>714375</wp:posOffset>
            </wp:positionH>
            <wp:positionV relativeFrom="paragraph">
              <wp:posOffset>50800</wp:posOffset>
            </wp:positionV>
            <wp:extent cx="1517650" cy="292735"/>
            <wp:wrapTopAndBottom/>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3"/>
                    <a:stretch/>
                  </pic:blipFill>
                  <pic:spPr>
                    <a:xfrm>
                      <a:ext cx="1517650" cy="292735"/>
                    </a:xfrm>
                    <a:prstGeom prst="rect"/>
                  </pic:spPr>
                </pic:pic>
              </a:graphicData>
            </a:graphic>
          </wp:anchor>
        </w:drawing>
      </w:r>
    </w:p>
    <w:p>
      <w:pPr>
        <w:pStyle w:val="Style9"/>
        <w:keepNext w:val="0"/>
        <w:keepLines w:val="0"/>
        <w:widowControl w:val="0"/>
        <w:shd w:val="clear" w:color="auto" w:fill="auto"/>
        <w:bidi w:val="0"/>
        <w:spacing w:before="0" w:after="0" w:line="233" w:lineRule="auto"/>
        <w:ind w:left="0" w:right="0" w:firstLine="740"/>
        <w:jc w:val="both"/>
      </w:pPr>
      <w:r>
        <w:rPr>
          <w:color w:val="000000"/>
          <w:spacing w:val="0"/>
          <w:w w:val="100"/>
          <w:position w:val="0"/>
          <w:sz w:val="24"/>
          <w:szCs w:val="24"/>
          <w:shd w:val="clear" w:color="auto" w:fill="auto"/>
          <w:lang w:val="ru-RU" w:eastAsia="ru-RU" w:bidi="ru-RU"/>
        </w:rPr>
        <w:t xml:space="preserve">Заказчиком в Единой информационной системе (ЕИС) на официальном сайте </w:t>
      </w:r>
      <w:r>
        <w:rPr>
          <w:smallCaps/>
          <w:color w:val="000000"/>
          <w:spacing w:val="0"/>
          <w:w w:val="100"/>
          <w:position w:val="0"/>
          <w:sz w:val="17"/>
          <w:szCs w:val="17"/>
          <w:u w:val="single"/>
          <w:shd w:val="clear" w:color="auto" w:fill="auto"/>
          <w:lang w:val="ru-RU" w:eastAsia="ru-RU" w:bidi="ru-RU"/>
        </w:rPr>
        <w:t>\у\у\у.</w:t>
      </w:r>
      <w:r>
        <w:rPr>
          <w:color w:val="000000"/>
          <w:spacing w:val="0"/>
          <w:w w:val="100"/>
          <w:position w:val="0"/>
          <w:sz w:val="24"/>
          <w:szCs w:val="24"/>
          <w:u w:val="single"/>
          <w:shd w:val="clear" w:color="auto" w:fill="auto"/>
          <w:lang w:val="ru-RU" w:eastAsia="ru-RU" w:bidi="ru-RU"/>
        </w:rPr>
        <w:t xml:space="preserve"> хакирк! .доV.^и</w:t>
      </w:r>
      <w:r>
        <w:rPr>
          <w:color w:val="000000"/>
          <w:spacing w:val="0"/>
          <w:w w:val="100"/>
          <w:position w:val="0"/>
          <w:sz w:val="24"/>
          <w:szCs w:val="24"/>
          <w:shd w:val="clear" w:color="auto" w:fill="auto"/>
          <w:lang w:val="ru-RU" w:eastAsia="ru-RU" w:bidi="ru-RU"/>
        </w:rPr>
        <w:t xml:space="preserve"> 24.11.2023 размещено извещение о проведении закупки, согласно которому:</w:t>
      </w:r>
    </w:p>
    <w:p>
      <w:pPr>
        <w:pStyle w:val="Style9"/>
        <w:keepNext w:val="0"/>
        <w:keepLines w:val="0"/>
        <w:widowControl w:val="0"/>
        <w:shd w:val="clear" w:color="auto" w:fill="auto"/>
        <w:bidi w:val="0"/>
        <w:spacing w:before="0" w:after="0" w:line="233" w:lineRule="auto"/>
        <w:ind w:left="0" w:right="0" w:firstLine="740"/>
        <w:jc w:val="both"/>
      </w:pPr>
      <w:r>
        <w:rPr>
          <w:color w:val="000000"/>
          <w:spacing w:val="0"/>
          <w:w w:val="100"/>
          <w:position w:val="0"/>
          <w:sz w:val="24"/>
          <w:szCs w:val="24"/>
          <w:shd w:val="clear" w:color="auto" w:fill="auto"/>
          <w:lang w:val="ru-RU" w:eastAsia="ru-RU" w:bidi="ru-RU"/>
        </w:rPr>
        <w:t>-установлены дата и время окончания подачи заявок - 04.12.2023 10:00 (МСК);</w:t>
      </w:r>
    </w:p>
    <w:p>
      <w:pPr>
        <w:pStyle w:val="Style9"/>
        <w:keepNext w:val="0"/>
        <w:keepLines w:val="0"/>
        <w:widowControl w:val="0"/>
        <w:shd w:val="clear" w:color="auto" w:fill="auto"/>
        <w:bidi w:val="0"/>
        <w:spacing w:before="0" w:after="240" w:line="233" w:lineRule="auto"/>
        <w:ind w:left="0" w:right="0" w:firstLine="740"/>
        <w:jc w:val="both"/>
      </w:pPr>
      <w:r>
        <w:rPr>
          <w:color w:val="000000"/>
          <w:spacing w:val="0"/>
          <w:w w:val="100"/>
          <w:position w:val="0"/>
          <w:sz w:val="24"/>
          <w:szCs w:val="24"/>
          <w:shd w:val="clear" w:color="auto" w:fill="auto"/>
          <w:lang w:val="ru-RU" w:eastAsia="ru-RU" w:bidi="ru-RU"/>
        </w:rPr>
        <w:t>-начальная (максимальная) цена контракта (НМЦК) составила 11 632 807,00 рублей.</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1.Согласно доводу жалобы Заявителя, аукционной комиссией Заказчика неправомерно признана соответствующей заявка победителя, так как в извещении установлено требование о наличии у участника закупки уровня ответственности члена саморегулируемой организации (далее — СРО) не ниже второго уровня, в то время как победитель обладает лишь первым уровнем ответственности.</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ч. 5 ст. 49 Закона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1) члены комиссии по осуществлению закупок:</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а)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Частью 2 статьи 52 Градостроительного кодекса Российской Федерации (далее — ГрК РФ) установлено, что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 строительного подряда),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если иное не установлено настоящей статьей. Выполнение работ по строительству, реконструкции, капитальному ремонту объектов капитального строительства по таким договорам обеспечивается специалистами по организации строительства (главными инженерами проектов).</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ч. 2.1 ст. 52 ГрК РФ индивидуальный предприниматель или юридическое лицо, не являющиеся членами саморегулируемых организаций в области строительства, реконструкции, капитального ремонта объектов капитального строительства, могут выполнять работы по договорам строительного подряда, заключенным с застройщиком, техническим заказчиком, лицом, ответственным за эксплуатацию здания, сооружения, региональным оператором, в случае, если размер обязательств по каждому из таких договоров не превышает десяти миллионов рублей.</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Комиссия отмечает, что примечание, предусмотренное ч. 2.1 ст. 52 ГрК РФ, отражено Заказчиком в извещении о проведении закупки.</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ООО «Дорис» (победитель закупки) обладает первым уровнем ответственности члена СРО, НМЦК 11 632 807,00 руб., следовательно, победитель обладает правом выполнять работы по контракту. Более того, ценовое предложение ООО «Дорис» составило 1 454 100,80 руб., с учетом ч. 2.1 ст. 52 ГрК РФ указанный участник вправе выполнять работы по контракту даже не являясь при этом членом СРО.</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Аналогичная правовая позиция изложена в судебных актах по арбитражным делам №№ А45-35606/2017, А55-22284/2020.</w:t>
      </w:r>
    </w:p>
    <w:p>
      <w:pPr>
        <w:pStyle w:val="Style9"/>
        <w:keepNext w:val="0"/>
        <w:keepLines w:val="0"/>
        <w:widowControl w:val="0"/>
        <w:shd w:val="clear" w:color="auto" w:fill="auto"/>
        <w:bidi w:val="0"/>
        <w:spacing w:before="0" w:after="240" w:line="240" w:lineRule="auto"/>
        <w:ind w:left="0" w:right="0" w:firstLine="740"/>
        <w:jc w:val="both"/>
      </w:pPr>
      <w:r>
        <w:rPr>
          <w:color w:val="000000"/>
          <w:spacing w:val="0"/>
          <w:w w:val="100"/>
          <w:position w:val="0"/>
          <w:sz w:val="24"/>
          <w:szCs w:val="24"/>
          <w:shd w:val="clear" w:color="auto" w:fill="auto"/>
          <w:lang w:val="ru-RU" w:eastAsia="ru-RU" w:bidi="ru-RU"/>
        </w:rPr>
        <w:t>На основании изложенного, аукционная комиссия Заказчика признав заявку победителя соответствующей действовала правомерно. Довод жалобы не обоснован.</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2. В ходе рассмотрения дела Комиссией установлено следующее.</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 xml:space="preserve">В силу п.12 ч.1 ст. 42 Закона при осуществлении закупки путем проведения открытых конкурентных способов заказчик формирует с использованием единой информационной системы, </w:t>
      </w:r>
      <w:r>
        <w:rPr>
          <w:color w:val="000000"/>
          <w:spacing w:val="0"/>
          <w:w w:val="100"/>
          <w:position w:val="0"/>
          <w:sz w:val="24"/>
          <w:szCs w:val="24"/>
          <w:shd w:val="clear" w:color="auto" w:fill="auto"/>
          <w:lang w:val="ru-RU" w:eastAsia="ru-RU" w:bidi="ru-RU"/>
        </w:rPr>
        <w:t xml:space="preserve">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w:t>
      </w:r>
      <w:r>
        <w:rPr>
          <w:color w:val="000000"/>
          <w:spacing w:val="0"/>
          <w:w w:val="100"/>
          <w:position w:val="0"/>
          <w:sz w:val="24"/>
          <w:szCs w:val="24"/>
          <w:u w:val="single"/>
          <w:shd w:val="clear" w:color="auto" w:fill="auto"/>
          <w:lang w:val="ru-RU" w:eastAsia="ru-RU" w:bidi="ru-RU"/>
        </w:rPr>
        <w:t xml:space="preserve">частью 1 статьи 31 </w:t>
      </w:r>
      <w:r>
        <w:rPr>
          <w:color w:val="000000"/>
          <w:spacing w:val="0"/>
          <w:w w:val="100"/>
          <w:position w:val="0"/>
          <w:sz w:val="24"/>
          <w:szCs w:val="24"/>
          <w:shd w:val="clear" w:color="auto" w:fill="auto"/>
          <w:lang w:val="ru-RU" w:eastAsia="ru-RU" w:bidi="ru-RU"/>
        </w:rPr>
        <w:t xml:space="preserve">настоящего Федерального закона, требования, предъявляемые к участникам закупки в соответствии с </w:t>
      </w:r>
      <w:r>
        <w:rPr>
          <w:color w:val="000000"/>
          <w:spacing w:val="0"/>
          <w:w w:val="100"/>
          <w:position w:val="0"/>
          <w:sz w:val="24"/>
          <w:szCs w:val="24"/>
          <w:u w:val="single"/>
          <w:shd w:val="clear" w:color="auto" w:fill="auto"/>
          <w:lang w:val="ru-RU" w:eastAsia="ru-RU" w:bidi="ru-RU"/>
        </w:rPr>
        <w:t>частями 2</w:t>
      </w:r>
      <w:r>
        <w:rPr>
          <w:color w:val="000000"/>
          <w:spacing w:val="0"/>
          <w:w w:val="100"/>
          <w:position w:val="0"/>
          <w:sz w:val="24"/>
          <w:szCs w:val="24"/>
          <w:shd w:val="clear" w:color="auto" w:fill="auto"/>
          <w:lang w:val="ru-RU" w:eastAsia="ru-RU" w:bidi="ru-RU"/>
        </w:rPr>
        <w:t xml:space="preserve"> и </w:t>
      </w:r>
      <w:r>
        <w:rPr>
          <w:color w:val="000000"/>
          <w:spacing w:val="0"/>
          <w:w w:val="100"/>
          <w:position w:val="0"/>
          <w:sz w:val="24"/>
          <w:szCs w:val="24"/>
          <w:u w:val="single"/>
          <w:shd w:val="clear" w:color="auto" w:fill="auto"/>
          <w:lang w:val="ru-RU" w:eastAsia="ru-RU" w:bidi="ru-RU"/>
        </w:rPr>
        <w:t>2.1</w:t>
      </w:r>
      <w:r>
        <w:rPr>
          <w:color w:val="000000"/>
          <w:spacing w:val="0"/>
          <w:w w:val="100"/>
          <w:position w:val="0"/>
          <w:sz w:val="24"/>
          <w:szCs w:val="24"/>
          <w:shd w:val="clear" w:color="auto" w:fill="auto"/>
          <w:lang w:val="ru-RU" w:eastAsia="ru-RU" w:bidi="ru-RU"/>
        </w:rPr>
        <w:t xml:space="preserve">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w:t>
      </w:r>
      <w:r>
        <w:rPr>
          <w:color w:val="000000"/>
          <w:spacing w:val="0"/>
          <w:w w:val="100"/>
          <w:position w:val="0"/>
          <w:sz w:val="24"/>
          <w:szCs w:val="24"/>
          <w:u w:val="single"/>
          <w:shd w:val="clear" w:color="auto" w:fill="auto"/>
          <w:lang w:val="ru-RU" w:eastAsia="ru-RU" w:bidi="ru-RU"/>
        </w:rPr>
        <w:t>частью 1.1 статьи 31</w:t>
      </w:r>
      <w:r>
        <w:rPr>
          <w:color w:val="000000"/>
          <w:spacing w:val="0"/>
          <w:w w:val="100"/>
          <w:position w:val="0"/>
          <w:sz w:val="24"/>
          <w:szCs w:val="24"/>
          <w:shd w:val="clear" w:color="auto" w:fill="auto"/>
          <w:lang w:val="ru-RU" w:eastAsia="ru-RU" w:bidi="ru-RU"/>
        </w:rPr>
        <w:t xml:space="preserve"> настоящего Федерального закона (при наличии такого требования).</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Одним из требований к участникам закупки, предусмотренным ч.1 ст.31 Закона, является соответствие участника закупки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Частью 4 ст.31 Закона предусмотрено, что в случае установления Правительством Российской Федерации в соответствии с ч.2 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В силу ч.6 ст.31 Закона заказчики не вправе устанавливать требования к участникам закупок в нарушение требований настоящего Федерального закона.</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Согласно извещению Заказчиком установлено следующее требование к участникам закупки: «</w:t>
      </w:r>
      <w:r>
        <w:rPr>
          <w:i/>
          <w:iCs/>
          <w:color w:val="000000"/>
          <w:spacing w:val="0"/>
          <w:w w:val="100"/>
          <w:position w:val="0"/>
          <w:sz w:val="24"/>
          <w:szCs w:val="24"/>
          <w:shd w:val="clear" w:color="auto" w:fill="auto"/>
          <w:lang w:val="ru-RU" w:eastAsia="ru-RU" w:bidi="ru-RU"/>
        </w:rPr>
        <w:t xml:space="preserve">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наличие членства в саморегулируемой организации в области строительства, реконструкции, капитального ремонта, сноса объектов капитального строительства в отношении объектов капитального строительства (кроме особо опасных, технически сложных и уникальных объектов, объектов использования атомной энергии)*, информация о котором должна содержаться в едином реестре о членах саморегулируемых организаций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и их обязательствах (далее - Реестр) с наличием сведений в Реестре: 1) права выполнять строительство, реконструкцию, капитальный ремонт объектов капитального строительства по договору строительного подряда, заключаемым с использованием конкурентных способов заключения договоров в отношении объектов капитального строительства (кроме особо опасных, технически сложных и уникальных объектов, объектов использования атомной энергии), заключаемым с использованием конкурентных способов; 2) права, предусмотренного ч. 3 ст. 55.8 Градостроительного кодекса Российской Федерации: - саморегулируемая организация (СРО), в которой состоит участник закупки, должна иметь компенсационный фонд обеспечения договорных обязательств; - совокупный размер обязательств участника закупки по договорам, которые заключены с использованием конкурентных способов, не должен превышать уровень ответственности участника по компенсационному фонду обеспечения договорных обязательств. Минимальный размер взноса участника закупки в компенсационный фонд возмещения вреда должен быть сформирован в соответствии с требованиями ч. 12 ст. 55.16 Градостроительного кодекса Российской Федерации, минимальный размер взноса участника закупки в компенсационный фонд обеспечения договорных обязательств должен быть сформирован в соответствии с требованиями ч. 13 ст. 55.16 Градостроительного кодекса Российской Федерации. </w:t>
      </w:r>
      <w:r>
        <w:rPr>
          <w:b/>
          <w:bCs/>
          <w:i/>
          <w:iCs/>
          <w:color w:val="000000"/>
          <w:spacing w:val="0"/>
          <w:w w:val="100"/>
          <w:position w:val="0"/>
          <w:sz w:val="24"/>
          <w:szCs w:val="24"/>
          <w:u w:val="single"/>
          <w:shd w:val="clear" w:color="auto" w:fill="auto"/>
          <w:lang w:val="ru-RU" w:eastAsia="ru-RU" w:bidi="ru-RU"/>
        </w:rPr>
        <w:t>Уровень ответственности члена саморегулируемой организации должен быть не ниже второго уровня.</w:t>
      </w:r>
      <w:r>
        <w:rPr>
          <w:b/>
          <w:bCs/>
          <w:i/>
          <w:iCs/>
          <w:color w:val="000000"/>
          <w:spacing w:val="0"/>
          <w:w w:val="100"/>
          <w:position w:val="0"/>
          <w:sz w:val="24"/>
          <w:szCs w:val="24"/>
          <w:shd w:val="clear" w:color="auto" w:fill="auto"/>
          <w:lang w:val="ru-RU" w:eastAsia="ru-RU" w:bidi="ru-RU"/>
        </w:rPr>
        <w:t xml:space="preserve"> </w:t>
      </w:r>
      <w:r>
        <w:rPr>
          <w:i/>
          <w:iCs/>
          <w:color w:val="000000"/>
          <w:spacing w:val="0"/>
          <w:w w:val="100"/>
          <w:position w:val="0"/>
          <w:sz w:val="24"/>
          <w:szCs w:val="24"/>
          <w:shd w:val="clear" w:color="auto" w:fill="auto"/>
          <w:lang w:val="ru-RU" w:eastAsia="ru-RU" w:bidi="ru-RU"/>
        </w:rPr>
        <w:t>* за исключением случаев, перечисленных в ч. 2.1 и 2.2. ст. 52 Градостроительного кодекса РФ. Предоставление копий документов, подтверждающих соответствие указанным требованиям, в составе заявки не требуется.</w:t>
      </w:r>
      <w:r>
        <w:rPr>
          <w:color w:val="000000"/>
          <w:spacing w:val="0"/>
          <w:w w:val="100"/>
          <w:position w:val="0"/>
          <w:sz w:val="24"/>
          <w:szCs w:val="24"/>
          <w:shd w:val="clear" w:color="auto" w:fill="auto"/>
          <w:lang w:val="ru-RU" w:eastAsia="ru-RU" w:bidi="ru-RU"/>
        </w:rPr>
        <w:t>»</w:t>
      </w:r>
    </w:p>
    <w:p>
      <w:pPr>
        <w:pStyle w:val="Style9"/>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 xml:space="preserve">Согласно ч.12 ст.55.16 ГрК РФ минимальный размер взноса в компенсационный фонд возмещения вреда на одного члена саморегулируемой организации в области строительства, </w:t>
      </w:r>
      <w:r>
        <w:rPr>
          <w:color w:val="000000"/>
          <w:spacing w:val="0"/>
          <w:w w:val="100"/>
          <w:position w:val="0"/>
          <w:sz w:val="24"/>
          <w:szCs w:val="24"/>
          <w:shd w:val="clear" w:color="auto" w:fill="auto"/>
          <w:lang w:val="ru-RU" w:eastAsia="ru-RU" w:bidi="ru-RU"/>
        </w:rPr>
        <w:t>реконструкции, капитального ремонта, сноса объектов капитального строительства в зависимости от уровня ответственности члена саморегулируемой организации составляет:</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 xml:space="preserve">1) сто тысяч рублей в случае, если член саморегулируемой организации планирует осуществлять строительство, реконструкцию (в том числе снос объекта капитального строительства, его частей в процессе строительства, реконструкции), капитальный ремонт объекта капитального строительства (далее в целях настоящей части - строительство), стоимость которого по одному договору </w:t>
      </w:r>
      <w:r>
        <w:rPr>
          <w:color w:val="000000"/>
          <w:spacing w:val="0"/>
          <w:w w:val="100"/>
          <w:position w:val="0"/>
          <w:sz w:val="24"/>
          <w:szCs w:val="24"/>
          <w:u w:val="single"/>
          <w:shd w:val="clear" w:color="auto" w:fill="auto"/>
          <w:lang w:val="ru-RU" w:eastAsia="ru-RU" w:bidi="ru-RU"/>
        </w:rPr>
        <w:t>не превышает девяносто миллионов рублей</w:t>
      </w:r>
      <w:r>
        <w:rPr>
          <w:color w:val="000000"/>
          <w:spacing w:val="0"/>
          <w:w w:val="100"/>
          <w:position w:val="0"/>
          <w:sz w:val="24"/>
          <w:szCs w:val="24"/>
          <w:shd w:val="clear" w:color="auto" w:fill="auto"/>
          <w:lang w:val="ru-RU" w:eastAsia="ru-RU" w:bidi="ru-RU"/>
        </w:rPr>
        <w:t xml:space="preserve"> (</w:t>
      </w:r>
      <w:r>
        <w:rPr>
          <w:color w:val="000000"/>
          <w:spacing w:val="0"/>
          <w:w w:val="100"/>
          <w:position w:val="0"/>
          <w:sz w:val="24"/>
          <w:szCs w:val="24"/>
          <w:u w:val="single"/>
          <w:shd w:val="clear" w:color="auto" w:fill="auto"/>
          <w:lang w:val="ru-RU" w:eastAsia="ru-RU" w:bidi="ru-RU"/>
        </w:rPr>
        <w:t>первый уровень</w:t>
      </w:r>
      <w:r>
        <w:rPr>
          <w:color w:val="000000"/>
          <w:spacing w:val="0"/>
          <w:w w:val="100"/>
          <w:position w:val="0"/>
          <w:sz w:val="24"/>
          <w:szCs w:val="24"/>
          <w:shd w:val="clear" w:color="auto" w:fill="auto"/>
          <w:lang w:val="ru-RU" w:eastAsia="ru-RU" w:bidi="ru-RU"/>
        </w:rPr>
        <w:t xml:space="preserve"> ответственности члена саморегулируемой организации);</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 xml:space="preserve">2) пятьсот тысяч рублей в случае, если член саморегулируемой организации планирует осуществлять строительство, стоимость которого по одному договору </w:t>
      </w:r>
      <w:r>
        <w:rPr>
          <w:color w:val="000000"/>
          <w:spacing w:val="0"/>
          <w:w w:val="100"/>
          <w:position w:val="0"/>
          <w:sz w:val="24"/>
          <w:szCs w:val="24"/>
          <w:u w:val="single"/>
          <w:shd w:val="clear" w:color="auto" w:fill="auto"/>
          <w:lang w:val="ru-RU" w:eastAsia="ru-RU" w:bidi="ru-RU"/>
        </w:rPr>
        <w:t>не превышает пятьсот миллионов рублей</w:t>
      </w:r>
      <w:r>
        <w:rPr>
          <w:color w:val="000000"/>
          <w:spacing w:val="0"/>
          <w:w w:val="100"/>
          <w:position w:val="0"/>
          <w:sz w:val="24"/>
          <w:szCs w:val="24"/>
          <w:shd w:val="clear" w:color="auto" w:fill="auto"/>
          <w:lang w:val="ru-RU" w:eastAsia="ru-RU" w:bidi="ru-RU"/>
        </w:rPr>
        <w:t xml:space="preserve"> (</w:t>
      </w:r>
      <w:r>
        <w:rPr>
          <w:color w:val="000000"/>
          <w:spacing w:val="0"/>
          <w:w w:val="100"/>
          <w:position w:val="0"/>
          <w:sz w:val="24"/>
          <w:szCs w:val="24"/>
          <w:u w:val="single"/>
          <w:shd w:val="clear" w:color="auto" w:fill="auto"/>
          <w:lang w:val="ru-RU" w:eastAsia="ru-RU" w:bidi="ru-RU"/>
        </w:rPr>
        <w:t xml:space="preserve">второй уровень </w:t>
      </w:r>
      <w:r>
        <w:rPr>
          <w:color w:val="000000"/>
          <w:spacing w:val="0"/>
          <w:w w:val="100"/>
          <w:position w:val="0"/>
          <w:sz w:val="24"/>
          <w:szCs w:val="24"/>
          <w:shd w:val="clear" w:color="auto" w:fill="auto"/>
          <w:lang w:val="ru-RU" w:eastAsia="ru-RU" w:bidi="ru-RU"/>
        </w:rPr>
        <w:t>ответственности члена саморегулируемой организации).</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На основании ч.13 ст. 55.16 ГрК РФ минимальный размер взноса в компенсационный фонд обеспечения договорных обязательств на одного члена саморегулируемой организации в области строительства, реконструкции, капитального ремонта, сноса объектов капитального строительства, выразившего намерение принимать участие в заключении договоров строительного подряда, договоров подряда на осуществление сноса с использованием конкурентных способов заключения договоров, в зависимости от уровня ответственности члена саморегулируемой организации составляет:</w:t>
      </w:r>
    </w:p>
    <w:p>
      <w:pPr>
        <w:pStyle w:val="Style9"/>
        <w:keepNext w:val="0"/>
        <w:keepLines w:val="0"/>
        <w:widowControl w:val="0"/>
        <w:numPr>
          <w:ilvl w:val="0"/>
          <w:numId w:val="1"/>
        </w:numPr>
        <w:shd w:val="clear" w:color="auto" w:fill="auto"/>
        <w:tabs>
          <w:tab w:pos="1033"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 xml:space="preserve">двести тысяч рублей в случае, если предельный размер обязательств по таким договорам </w:t>
      </w:r>
      <w:r>
        <w:rPr>
          <w:color w:val="000000"/>
          <w:spacing w:val="0"/>
          <w:w w:val="100"/>
          <w:position w:val="0"/>
          <w:sz w:val="24"/>
          <w:szCs w:val="24"/>
          <w:u w:val="single"/>
          <w:shd w:val="clear" w:color="auto" w:fill="auto"/>
          <w:lang w:val="ru-RU" w:eastAsia="ru-RU" w:bidi="ru-RU"/>
        </w:rPr>
        <w:t>не превышает девяносто миллионов рублей (первый уровень</w:t>
      </w:r>
      <w:r>
        <w:rPr>
          <w:color w:val="000000"/>
          <w:spacing w:val="0"/>
          <w:w w:val="100"/>
          <w:position w:val="0"/>
          <w:sz w:val="24"/>
          <w:szCs w:val="24"/>
          <w:shd w:val="clear" w:color="auto" w:fill="auto"/>
          <w:lang w:val="ru-RU" w:eastAsia="ru-RU" w:bidi="ru-RU"/>
        </w:rPr>
        <w:t xml:space="preserve"> ответственности члена саморегулируемой организации);</w:t>
      </w:r>
    </w:p>
    <w:p>
      <w:pPr>
        <w:pStyle w:val="Style9"/>
        <w:keepNext w:val="0"/>
        <w:keepLines w:val="0"/>
        <w:widowControl w:val="0"/>
        <w:numPr>
          <w:ilvl w:val="0"/>
          <w:numId w:val="1"/>
        </w:numPr>
        <w:shd w:val="clear" w:color="auto" w:fill="auto"/>
        <w:tabs>
          <w:tab w:pos="1042"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 xml:space="preserve">два миллиона пятьсот тысяч рублей в случае, если предельный размер обязательств по таким договорам </w:t>
      </w:r>
      <w:r>
        <w:rPr>
          <w:color w:val="000000"/>
          <w:spacing w:val="0"/>
          <w:w w:val="100"/>
          <w:position w:val="0"/>
          <w:sz w:val="24"/>
          <w:szCs w:val="24"/>
          <w:u w:val="single"/>
          <w:shd w:val="clear" w:color="auto" w:fill="auto"/>
          <w:lang w:val="ru-RU" w:eastAsia="ru-RU" w:bidi="ru-RU"/>
        </w:rPr>
        <w:t>не превышает пятьсот миллионов рублей</w:t>
      </w:r>
      <w:r>
        <w:rPr>
          <w:color w:val="000000"/>
          <w:spacing w:val="0"/>
          <w:w w:val="100"/>
          <w:position w:val="0"/>
          <w:sz w:val="24"/>
          <w:szCs w:val="24"/>
          <w:shd w:val="clear" w:color="auto" w:fill="auto"/>
          <w:lang w:val="ru-RU" w:eastAsia="ru-RU" w:bidi="ru-RU"/>
        </w:rPr>
        <w:t xml:space="preserve"> (</w:t>
      </w:r>
      <w:r>
        <w:rPr>
          <w:color w:val="000000"/>
          <w:spacing w:val="0"/>
          <w:w w:val="100"/>
          <w:position w:val="0"/>
          <w:sz w:val="24"/>
          <w:szCs w:val="24"/>
          <w:u w:val="single"/>
          <w:shd w:val="clear" w:color="auto" w:fill="auto"/>
          <w:lang w:val="ru-RU" w:eastAsia="ru-RU" w:bidi="ru-RU"/>
        </w:rPr>
        <w:t>второй уровень</w:t>
      </w:r>
      <w:r>
        <w:rPr>
          <w:color w:val="000000"/>
          <w:spacing w:val="0"/>
          <w:w w:val="100"/>
          <w:position w:val="0"/>
          <w:sz w:val="24"/>
          <w:szCs w:val="24"/>
          <w:shd w:val="clear" w:color="auto" w:fill="auto"/>
          <w:lang w:val="ru-RU" w:eastAsia="ru-RU" w:bidi="ru-RU"/>
        </w:rPr>
        <w:t xml:space="preserve"> ответственности члена саморегулируемой организации).</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 xml:space="preserve">Предметом рассматриваемой закупки является выполнение работ по строительному контролю, начальная (максимальная) цена контракта составляет </w:t>
      </w:r>
      <w:r>
        <w:rPr>
          <w:color w:val="000000"/>
          <w:spacing w:val="0"/>
          <w:w w:val="100"/>
          <w:position w:val="0"/>
          <w:sz w:val="24"/>
          <w:szCs w:val="24"/>
          <w:u w:val="single"/>
          <w:shd w:val="clear" w:color="auto" w:fill="auto"/>
          <w:lang w:val="ru-RU" w:eastAsia="ru-RU" w:bidi="ru-RU"/>
        </w:rPr>
        <w:t>11 632 807,00</w:t>
      </w:r>
      <w:r>
        <w:rPr>
          <w:color w:val="000000"/>
          <w:spacing w:val="0"/>
          <w:w w:val="100"/>
          <w:position w:val="0"/>
          <w:sz w:val="24"/>
          <w:szCs w:val="24"/>
          <w:shd w:val="clear" w:color="auto" w:fill="auto"/>
          <w:lang w:val="ru-RU" w:eastAsia="ru-RU" w:bidi="ru-RU"/>
        </w:rPr>
        <w:t xml:space="preserve"> руб., то есть не превышает 90 млн. рублей.</w:t>
      </w:r>
    </w:p>
    <w:p>
      <w:pPr>
        <w:pStyle w:val="Style9"/>
        <w:keepNext w:val="0"/>
        <w:keepLines w:val="0"/>
        <w:widowControl w:val="0"/>
        <w:shd w:val="clear" w:color="auto" w:fill="auto"/>
        <w:bidi w:val="0"/>
        <w:spacing w:before="0" w:after="240" w:line="240" w:lineRule="auto"/>
        <w:ind w:left="0" w:right="0" w:firstLine="740"/>
        <w:jc w:val="both"/>
      </w:pPr>
      <w:r>
        <w:rPr>
          <w:color w:val="000000"/>
          <w:spacing w:val="0"/>
          <w:w w:val="100"/>
          <w:position w:val="0"/>
          <w:sz w:val="24"/>
          <w:szCs w:val="24"/>
          <w:shd w:val="clear" w:color="auto" w:fill="auto"/>
          <w:lang w:val="ru-RU" w:eastAsia="ru-RU" w:bidi="ru-RU"/>
        </w:rPr>
        <w:t>Ввиду изложенного Комиссия пришла к выводу о том, что Заказчиком неправомерно установлено требование к участникам закупки о наличии ответственности члена СРО не ниже второго уровня, чем нарушены положения ч.6 ст.31 Закона.</w:t>
      </w:r>
    </w:p>
    <w:p>
      <w:pPr>
        <w:pStyle w:val="Style9"/>
        <w:keepNext w:val="0"/>
        <w:keepLines w:val="0"/>
        <w:widowControl w:val="0"/>
        <w:numPr>
          <w:ilvl w:val="0"/>
          <w:numId w:val="1"/>
        </w:numPr>
        <w:shd w:val="clear" w:color="auto" w:fill="auto"/>
        <w:tabs>
          <w:tab w:pos="1009"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 xml:space="preserve">В соответствии с ч.1 ст.42 Закона при осуществлении закупки путем проведения открытых конкурентных способов </w:t>
      </w:r>
      <w:r>
        <w:rPr>
          <w:color w:val="000000"/>
          <w:spacing w:val="0"/>
          <w:w w:val="100"/>
          <w:position w:val="0"/>
          <w:sz w:val="24"/>
          <w:szCs w:val="24"/>
          <w:u w:val="single"/>
          <w:shd w:val="clear" w:color="auto" w:fill="auto"/>
          <w:lang w:val="ru-RU" w:eastAsia="ru-RU" w:bidi="ru-RU"/>
        </w:rPr>
        <w:t>заказчик формирует с использованием единой информационной системы,</w:t>
      </w:r>
      <w:r>
        <w:rPr>
          <w:color w:val="000000"/>
          <w:spacing w:val="0"/>
          <w:w w:val="100"/>
          <w:position w:val="0"/>
          <w:sz w:val="24"/>
          <w:szCs w:val="24"/>
          <w:shd w:val="clear" w:color="auto" w:fill="auto"/>
          <w:lang w:val="ru-RU" w:eastAsia="ru-RU" w:bidi="ru-RU"/>
        </w:rPr>
        <w:t xml:space="preserve"> подписывает усиленной электронной подписью лица, имеющего право действовать от имени заказчика, и </w:t>
      </w:r>
      <w:r>
        <w:rPr>
          <w:color w:val="000000"/>
          <w:spacing w:val="0"/>
          <w:w w:val="100"/>
          <w:position w:val="0"/>
          <w:sz w:val="24"/>
          <w:szCs w:val="24"/>
          <w:u w:val="single"/>
          <w:shd w:val="clear" w:color="auto" w:fill="auto"/>
          <w:lang w:val="ru-RU" w:eastAsia="ru-RU" w:bidi="ru-RU"/>
        </w:rPr>
        <w:t>размещает в единой информационной системе извещение об осуществлении закупки, содержащее следующую информацию</w:t>
      </w:r>
      <w:r>
        <w:rPr>
          <w:color w:val="000000"/>
          <w:spacing w:val="0"/>
          <w:w w:val="100"/>
          <w:position w:val="0"/>
          <w:sz w:val="24"/>
          <w:szCs w:val="24"/>
          <w:shd w:val="clear" w:color="auto" w:fill="auto"/>
          <w:lang w:val="ru-RU" w:eastAsia="ru-RU" w:bidi="ru-RU"/>
        </w:rPr>
        <w:t>:</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 xml:space="preserve">16) размер и порядок внесения денежных средств в качестве обеспечения заявки на участие в закупке, условия независимой гарантии (если требование обеспечения заявки установлено в соответствии со </w:t>
      </w:r>
      <w:r>
        <w:rPr>
          <w:color w:val="0000FF"/>
          <w:spacing w:val="0"/>
          <w:w w:val="100"/>
          <w:position w:val="0"/>
          <w:sz w:val="24"/>
          <w:szCs w:val="24"/>
          <w:shd w:val="clear" w:color="auto" w:fill="auto"/>
          <w:lang w:val="ru-RU" w:eastAsia="ru-RU" w:bidi="ru-RU"/>
        </w:rPr>
        <w:t xml:space="preserve">статьей 44 </w:t>
      </w:r>
      <w:r>
        <w:rPr>
          <w:color w:val="000000"/>
          <w:spacing w:val="0"/>
          <w:w w:val="100"/>
          <w:position w:val="0"/>
          <w:sz w:val="24"/>
          <w:szCs w:val="24"/>
          <w:shd w:val="clear" w:color="auto" w:fill="auto"/>
          <w:lang w:val="ru-RU" w:eastAsia="ru-RU" w:bidi="ru-RU"/>
        </w:rPr>
        <w:t xml:space="preserve">настоящего Федерального закона), </w:t>
      </w:r>
      <w:r>
        <w:rPr>
          <w:color w:val="000000"/>
          <w:spacing w:val="0"/>
          <w:w w:val="100"/>
          <w:position w:val="0"/>
          <w:sz w:val="24"/>
          <w:szCs w:val="24"/>
          <w:u w:val="single"/>
          <w:shd w:val="clear" w:color="auto" w:fill="auto"/>
          <w:lang w:val="ru-RU" w:eastAsia="ru-RU" w:bidi="ru-RU"/>
        </w:rPr>
        <w:t>реквизиты счета</w:t>
      </w:r>
      <w:r>
        <w:rPr>
          <w:color w:val="000000"/>
          <w:spacing w:val="0"/>
          <w:w w:val="100"/>
          <w:position w:val="0"/>
          <w:sz w:val="24"/>
          <w:szCs w:val="24"/>
          <w:shd w:val="clear" w:color="auto" w:fill="auto"/>
          <w:lang w:val="ru-RU" w:eastAsia="ru-RU" w:bidi="ru-RU"/>
        </w:rPr>
        <w:t xml:space="preserve">, на котором в соответствии с законодательством Российской Федерации учитываются операции со средствами, поступающими заказчику, реквизиты счета для перечисления денежных средств в случае, предусмотренном </w:t>
      </w:r>
      <w:r>
        <w:rPr>
          <w:color w:val="0000FF"/>
          <w:spacing w:val="0"/>
          <w:w w:val="100"/>
          <w:position w:val="0"/>
          <w:sz w:val="24"/>
          <w:szCs w:val="24"/>
          <w:shd w:val="clear" w:color="auto" w:fill="auto"/>
          <w:lang w:val="ru-RU" w:eastAsia="ru-RU" w:bidi="ru-RU"/>
        </w:rPr>
        <w:t xml:space="preserve">частью 13 статьи 44 </w:t>
      </w:r>
      <w:r>
        <w:rPr>
          <w:color w:val="000000"/>
          <w:spacing w:val="0"/>
          <w:w w:val="100"/>
          <w:position w:val="0"/>
          <w:sz w:val="24"/>
          <w:szCs w:val="24"/>
          <w:shd w:val="clear" w:color="auto" w:fill="auto"/>
          <w:lang w:val="ru-RU" w:eastAsia="ru-RU" w:bidi="ru-RU"/>
        </w:rPr>
        <w:t>настоящего Федерального закона;</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 xml:space="preserve">17) размер обеспечения исполнения контракта, гарантийных обязательств, </w:t>
      </w:r>
      <w:r>
        <w:rPr>
          <w:color w:val="000000"/>
          <w:spacing w:val="0"/>
          <w:w w:val="100"/>
          <w:position w:val="0"/>
          <w:sz w:val="24"/>
          <w:szCs w:val="24"/>
          <w:u w:val="single"/>
          <w:shd w:val="clear" w:color="auto" w:fill="auto"/>
          <w:lang w:val="ru-RU" w:eastAsia="ru-RU" w:bidi="ru-RU"/>
        </w:rPr>
        <w:t>порядок предоставления такого обеспечения,</w:t>
      </w:r>
      <w:r>
        <w:rPr>
          <w:color w:val="000000"/>
          <w:spacing w:val="0"/>
          <w:w w:val="100"/>
          <w:position w:val="0"/>
          <w:sz w:val="24"/>
          <w:szCs w:val="24"/>
          <w:shd w:val="clear" w:color="auto" w:fill="auto"/>
          <w:lang w:val="ru-RU" w:eastAsia="ru-RU" w:bidi="ru-RU"/>
        </w:rPr>
        <w:t xml:space="preserve"> требования к такому обеспечению (если требование обеспечения исполнения контракта, гарантийных обязательств установлено в соответствии со </w:t>
      </w:r>
      <w:r>
        <w:rPr>
          <w:color w:val="0000FF"/>
          <w:spacing w:val="0"/>
          <w:w w:val="100"/>
          <w:position w:val="0"/>
          <w:sz w:val="24"/>
          <w:szCs w:val="24"/>
          <w:shd w:val="clear" w:color="auto" w:fill="auto"/>
          <w:lang w:val="ru-RU" w:eastAsia="ru-RU" w:bidi="ru-RU"/>
        </w:rPr>
        <w:t xml:space="preserve">статьей 96 </w:t>
      </w:r>
      <w:r>
        <w:rPr>
          <w:color w:val="000000"/>
          <w:spacing w:val="0"/>
          <w:w w:val="100"/>
          <w:position w:val="0"/>
          <w:sz w:val="24"/>
          <w:szCs w:val="24"/>
          <w:shd w:val="clear" w:color="auto" w:fill="auto"/>
          <w:lang w:val="ru-RU" w:eastAsia="ru-RU" w:bidi="ru-RU"/>
        </w:rPr>
        <w:t>настоящего Федерального закона).</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ЕИС размещенное извещение об осуществлении закупки не содержит информацию о реквизитах счета, на котором в соответствии с законодательством Российской Федерации учитываются операции со средствами, поступающими заказчику (</w:t>
      </w:r>
      <w:r>
        <w:rPr>
          <w:i/>
          <w:iCs/>
          <w:color w:val="000000"/>
          <w:spacing w:val="0"/>
          <w:w w:val="100"/>
          <w:position w:val="0"/>
          <w:sz w:val="24"/>
          <w:szCs w:val="24"/>
          <w:shd w:val="clear" w:color="auto" w:fill="auto"/>
          <w:lang w:val="ru-RU" w:eastAsia="ru-RU" w:bidi="ru-RU"/>
        </w:rPr>
        <w:t>ЕИС — раздел «Платежныереквизиты» - «Номеррасчётного счёта» 00000000000000000000 ...</w:t>
      </w:r>
      <w:r>
        <w:rPr>
          <w:color w:val="000000"/>
          <w:spacing w:val="0"/>
          <w:w w:val="100"/>
          <w:position w:val="0"/>
          <w:sz w:val="24"/>
          <w:szCs w:val="24"/>
          <w:shd w:val="clear" w:color="auto" w:fill="auto"/>
          <w:lang w:val="ru-RU" w:eastAsia="ru-RU" w:bidi="ru-RU"/>
        </w:rPr>
        <w:t xml:space="preserve"> ).</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Таким образом, Заказчик нарушил ч.1 ст.42 Закона.</w:t>
      </w:r>
    </w:p>
    <w:p>
      <w:pPr>
        <w:pStyle w:val="Style9"/>
        <w:keepNext w:val="0"/>
        <w:keepLines w:val="0"/>
        <w:widowControl w:val="0"/>
        <w:shd w:val="clear" w:color="auto" w:fill="auto"/>
        <w:bidi w:val="0"/>
        <w:spacing w:before="0" w:after="240" w:line="240" w:lineRule="auto"/>
        <w:ind w:left="0" w:right="0" w:firstLine="740"/>
        <w:jc w:val="both"/>
      </w:pPr>
      <w:r>
        <w:rPr>
          <w:color w:val="000000"/>
          <w:spacing w:val="0"/>
          <w:w w:val="100"/>
          <w:position w:val="0"/>
          <w:sz w:val="24"/>
          <w:szCs w:val="24"/>
          <w:shd w:val="clear" w:color="auto" w:fill="auto"/>
          <w:lang w:val="ru-RU" w:eastAsia="ru-RU" w:bidi="ru-RU"/>
        </w:rPr>
        <w:t>На основании Постановления Правительства РФ от 26.08.2013 № 728, в соответствии с ч.15 ст.99, ч.8 ст.106 Закона,</w:t>
      </w:r>
    </w:p>
    <w:p>
      <w:pPr>
        <w:pStyle w:val="Style9"/>
        <w:keepNext w:val="0"/>
        <w:keepLines w:val="0"/>
        <w:widowControl w:val="0"/>
        <w:shd w:val="clear" w:color="auto" w:fill="auto"/>
        <w:bidi w:val="0"/>
        <w:spacing w:before="0" w:after="240" w:line="240" w:lineRule="auto"/>
        <w:ind w:left="0" w:right="0" w:firstLine="0"/>
        <w:jc w:val="center"/>
      </w:pPr>
      <w:r>
        <w:rPr>
          <w:color w:val="000000"/>
          <w:spacing w:val="0"/>
          <w:w w:val="100"/>
          <w:position w:val="0"/>
          <w:sz w:val="24"/>
          <w:szCs w:val="24"/>
          <w:shd w:val="clear" w:color="auto" w:fill="auto"/>
          <w:lang w:val="ru-RU" w:eastAsia="ru-RU" w:bidi="ru-RU"/>
        </w:rPr>
        <w:t>РЕШИЛА:</w:t>
      </w:r>
    </w:p>
    <w:p>
      <w:pPr>
        <w:pStyle w:val="Style9"/>
        <w:keepNext w:val="0"/>
        <w:keepLines w:val="0"/>
        <w:widowControl w:val="0"/>
        <w:numPr>
          <w:ilvl w:val="0"/>
          <w:numId w:val="3"/>
        </w:numPr>
        <w:shd w:val="clear" w:color="auto" w:fill="auto"/>
        <w:tabs>
          <w:tab w:pos="1059"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Признать жалобу ООО «Юнирост» необоснованной.</w:t>
      </w:r>
    </w:p>
    <w:p>
      <w:pPr>
        <w:pStyle w:val="Style9"/>
        <w:keepNext w:val="0"/>
        <w:keepLines w:val="0"/>
        <w:widowControl w:val="0"/>
        <w:numPr>
          <w:ilvl w:val="0"/>
          <w:numId w:val="3"/>
        </w:numPr>
        <w:shd w:val="clear" w:color="auto" w:fill="auto"/>
        <w:tabs>
          <w:tab w:pos="107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Признать Заказчика нарушившим ч.6 ст.31, ч.1 ст.42 Закона.</w:t>
      </w:r>
    </w:p>
    <w:p>
      <w:pPr>
        <w:pStyle w:val="Style9"/>
        <w:keepNext w:val="0"/>
        <w:keepLines w:val="0"/>
        <w:widowControl w:val="0"/>
        <w:numPr>
          <w:ilvl w:val="0"/>
          <w:numId w:val="3"/>
        </w:numPr>
        <w:shd w:val="clear" w:color="auto" w:fill="auto"/>
        <w:tabs>
          <w:tab w:pos="1074"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Выдать Заказчику, аукционной комиссии Заказчика предписание об отмене сформированных протоколов, внесении изменений в извещение о проведении закупки в соответствии с требованиями законодательства РФ о контрактной системе, продлении срока подачи заявок в соответствии с ч.4 ст.42 Закона.</w:t>
      </w:r>
    </w:p>
    <w:p>
      <w:pPr>
        <w:pStyle w:val="Style9"/>
        <w:keepNext w:val="0"/>
        <w:keepLines w:val="0"/>
        <w:widowControl w:val="0"/>
        <w:numPr>
          <w:ilvl w:val="0"/>
          <w:numId w:val="3"/>
        </w:numPr>
        <w:shd w:val="clear" w:color="auto" w:fill="auto"/>
        <w:tabs>
          <w:tab w:pos="1074" w:val="left"/>
        </w:tabs>
        <w:bidi w:val="0"/>
        <w:spacing w:before="0" w:after="200" w:line="240" w:lineRule="auto"/>
        <w:ind w:left="0" w:right="0" w:firstLine="740"/>
        <w:jc w:val="both"/>
      </w:pPr>
      <w:r>
        <w:rPr>
          <w:color w:val="000000"/>
          <w:spacing w:val="0"/>
          <w:w w:val="100"/>
          <w:position w:val="0"/>
          <w:sz w:val="24"/>
          <w:szCs w:val="24"/>
          <w:shd w:val="clear" w:color="auto" w:fill="auto"/>
          <w:lang w:val="ru-RU" w:eastAsia="ru-RU" w:bidi="ru-RU"/>
        </w:rPr>
        <w:t>Рассмотреть вопрос о привлечении к административной ответственности виновного должностного лица Заказчика.</w:t>
      </w:r>
    </w:p>
    <w:p>
      <w:pPr>
        <w:pStyle w:val="Style9"/>
        <w:keepNext w:val="0"/>
        <w:keepLines w:val="0"/>
        <w:widowControl w:val="0"/>
        <w:shd w:val="clear" w:color="auto" w:fill="auto"/>
        <w:bidi w:val="0"/>
        <w:spacing w:before="0" w:after="900" w:line="264" w:lineRule="auto"/>
        <w:ind w:left="0" w:right="0" w:firstLine="720"/>
        <w:jc w:val="both"/>
        <w:rPr>
          <w:sz w:val="22"/>
          <w:szCs w:val="22"/>
        </w:rPr>
      </w:pPr>
      <w:r>
        <w:rPr>
          <w:color w:val="000000"/>
          <w:spacing w:val="0"/>
          <w:w w:val="100"/>
          <w:position w:val="0"/>
          <w:sz w:val="22"/>
          <w:szCs w:val="22"/>
          <w:shd w:val="clear" w:color="auto" w:fill="auto"/>
          <w:lang w:val="ru-RU" w:eastAsia="ru-RU" w:bidi="ru-RU"/>
        </w:rPr>
        <w:t>Решение может быть обжаловано в судебном порядке в течение трех месяцев со дня его принятия.</w:t>
      </w:r>
    </w:p>
    <w:tbl>
      <w:tblPr>
        <w:tblOverlap w:val="never"/>
        <w:jc w:val="center"/>
        <w:tblLayout w:type="fixed"/>
      </w:tblPr>
      <w:tblGrid>
        <w:gridCol w:w="2894"/>
        <w:gridCol w:w="4138"/>
        <w:gridCol w:w="3134"/>
      </w:tblGrid>
      <w:tr>
        <w:trPr>
          <w:trHeight w:val="1306" w:hRule="exact"/>
        </w:trPr>
        <w:tc>
          <w:tcPr>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c>
        <w:tc>
          <w:tcPr>
            <w:tcBorders/>
            <w:shd w:val="clear" w:color="auto" w:fill="auto"/>
            <w:vAlign w:val="bottom"/>
          </w:tcPr>
          <w:p>
            <w:pPr>
              <w:pStyle w:val="Style22"/>
              <w:keepNext w:val="0"/>
              <w:keepLines w:val="0"/>
              <w:widowControl w:val="0"/>
              <w:shd w:val="clear" w:color="auto" w:fill="auto"/>
              <w:bidi w:val="0"/>
              <w:spacing w:before="0" w:after="0" w:line="386" w:lineRule="auto"/>
              <w:ind w:left="440" w:right="0" w:firstLine="0"/>
              <w:jc w:val="left"/>
              <w:rPr>
                <w:sz w:val="22"/>
                <w:szCs w:val="22"/>
              </w:rPr>
            </w:pPr>
            <w:r>
              <w:rPr>
                <w:rFonts w:ascii="Arial" w:eastAsia="Arial" w:hAnsi="Arial" w:cs="Arial"/>
                <w:b/>
                <w:bCs/>
                <w:color w:val="898989"/>
                <w:spacing w:val="0"/>
                <w:w w:val="100"/>
                <w:position w:val="0"/>
                <w:sz w:val="22"/>
                <w:szCs w:val="22"/>
                <w:shd w:val="clear" w:color="auto" w:fill="auto"/>
                <w:lang w:val="ru-RU" w:eastAsia="ru-RU" w:bidi="ru-RU"/>
              </w:rPr>
              <w:t xml:space="preserve">Мест для подписи: </w:t>
            </w:r>
            <w:r>
              <w:rPr>
                <w:rFonts w:ascii="Arial" w:eastAsia="Arial" w:hAnsi="Arial" w:cs="Arial"/>
                <w:b/>
                <w:bCs/>
                <w:color w:val="898989"/>
                <w:spacing w:val="0"/>
                <w:w w:val="100"/>
                <w:position w:val="0"/>
                <w:sz w:val="22"/>
                <w:szCs w:val="22"/>
                <w:shd w:val="clear" w:color="auto" w:fill="auto"/>
                <w:lang w:val="ru-RU" w:eastAsia="ru-RU" w:bidi="ru-RU"/>
              </w:rPr>
              <w:t>Биа г одарен М. А.</w:t>
            </w:r>
          </w:p>
        </w:tc>
        <w:tc>
          <w:tcPr>
            <w:tcBorders/>
            <w:shd w:val="clear" w:color="auto" w:fill="auto"/>
            <w:vAlign w:val="top"/>
          </w:tcPr>
          <w:p>
            <w:pPr>
              <w:pStyle w:val="Style22"/>
              <w:keepNext w:val="0"/>
              <w:keepLines w:val="0"/>
              <w:widowControl w:val="0"/>
              <w:shd w:val="clear" w:color="auto" w:fill="auto"/>
              <w:bidi w:val="0"/>
              <w:spacing w:before="200" w:after="0" w:line="240" w:lineRule="auto"/>
              <w:ind w:left="0" w:right="0" w:firstLine="0"/>
              <w:jc w:val="right"/>
            </w:pPr>
            <w:r>
              <w:rPr>
                <w:color w:val="000000"/>
                <w:spacing w:val="0"/>
                <w:w w:val="100"/>
                <w:position w:val="0"/>
                <w:sz w:val="24"/>
                <w:szCs w:val="24"/>
                <w:shd w:val="clear" w:color="auto" w:fill="auto"/>
                <w:lang w:val="ru-RU" w:eastAsia="ru-RU" w:bidi="ru-RU"/>
              </w:rPr>
              <w:t>М.А. Благодарев</w:t>
            </w:r>
          </w:p>
        </w:tc>
      </w:tr>
      <w:tr>
        <w:trPr>
          <w:trHeight w:val="1498" w:hRule="exact"/>
        </w:trPr>
        <w:tc>
          <w:tcPr>
            <w:tcBorders/>
            <w:shd w:val="clear" w:color="auto" w:fill="auto"/>
            <w:vAlign w:val="top"/>
          </w:tcPr>
          <w:p>
            <w:pPr>
              <w:pStyle w:val="Style22"/>
              <w:keepNext w:val="0"/>
              <w:keepLines w:val="0"/>
              <w:widowControl w:val="0"/>
              <w:shd w:val="clear" w:color="auto" w:fill="auto"/>
              <w:bidi w:val="0"/>
              <w:spacing w:before="120" w:after="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tc>
        <w:tc>
          <w:tcPr>
            <w:tcBorders/>
            <w:shd w:val="clear" w:color="auto" w:fill="auto"/>
            <w:vAlign w:val="bottom"/>
          </w:tcPr>
          <w:p>
            <w:pPr>
              <w:pStyle w:val="Style22"/>
              <w:keepNext w:val="0"/>
              <w:keepLines w:val="0"/>
              <w:widowControl w:val="0"/>
              <w:shd w:val="clear" w:color="auto" w:fill="auto"/>
              <w:bidi w:val="0"/>
              <w:spacing w:before="0" w:after="140" w:line="240" w:lineRule="auto"/>
              <w:ind w:left="0" w:right="0" w:firstLine="440"/>
              <w:jc w:val="left"/>
              <w:rPr>
                <w:sz w:val="22"/>
                <w:szCs w:val="22"/>
              </w:rPr>
            </w:pPr>
            <w:r>
              <w:rPr>
                <w:rFonts w:ascii="Arial" w:eastAsia="Arial" w:hAnsi="Arial" w:cs="Arial"/>
                <w:b/>
                <w:bCs/>
                <w:color w:val="898989"/>
                <w:spacing w:val="0"/>
                <w:w w:val="100"/>
                <w:position w:val="0"/>
                <w:sz w:val="22"/>
                <w:szCs w:val="22"/>
                <w:shd w:val="clear" w:color="auto" w:fill="auto"/>
                <w:lang w:val="ru-RU" w:eastAsia="ru-RU" w:bidi="ru-RU"/>
              </w:rPr>
              <w:t>Место для подписи:</w:t>
            </w:r>
          </w:p>
          <w:p>
            <w:pPr>
              <w:pStyle w:val="Style22"/>
              <w:keepNext w:val="0"/>
              <w:keepLines w:val="0"/>
              <w:widowControl w:val="0"/>
              <w:shd w:val="clear" w:color="auto" w:fill="auto"/>
              <w:bidi w:val="0"/>
              <w:spacing w:before="0" w:after="0" w:line="240" w:lineRule="auto"/>
              <w:ind w:left="0" w:right="0" w:firstLine="440"/>
              <w:jc w:val="left"/>
              <w:rPr>
                <w:sz w:val="22"/>
                <w:szCs w:val="22"/>
              </w:rPr>
            </w:pPr>
            <w:r>
              <w:rPr>
                <w:rFonts w:ascii="Arial" w:eastAsia="Arial" w:hAnsi="Arial" w:cs="Arial"/>
                <w:b/>
                <w:bCs/>
                <w:color w:val="898989"/>
                <w:spacing w:val="0"/>
                <w:w w:val="100"/>
                <w:position w:val="0"/>
                <w:sz w:val="22"/>
                <w:szCs w:val="22"/>
                <w:shd w:val="clear" w:color="auto" w:fill="auto"/>
                <w:lang w:val="ru-RU" w:eastAsia="ru-RU" w:bidi="ru-RU"/>
              </w:rPr>
              <w:t>Евсрраюьа С. А.</w:t>
            </w:r>
          </w:p>
        </w:tc>
        <w:tc>
          <w:tcPr>
            <w:tcBorders/>
            <w:shd w:val="clear" w:color="auto" w:fill="auto"/>
            <w:vAlign w:val="top"/>
          </w:tcPr>
          <w:p>
            <w:pPr>
              <w:pStyle w:val="Style22"/>
              <w:keepNext w:val="0"/>
              <w:keepLines w:val="0"/>
              <w:widowControl w:val="0"/>
              <w:shd w:val="clear" w:color="auto" w:fill="auto"/>
              <w:bidi w:val="0"/>
              <w:spacing w:before="120" w:after="0" w:line="240" w:lineRule="auto"/>
              <w:ind w:left="0" w:right="0" w:firstLine="0"/>
              <w:jc w:val="right"/>
            </w:pPr>
            <w:r>
              <w:rPr>
                <w:color w:val="000000"/>
                <w:spacing w:val="0"/>
                <w:w w:val="100"/>
                <w:position w:val="0"/>
                <w:sz w:val="24"/>
                <w:szCs w:val="24"/>
                <w:shd w:val="clear" w:color="auto" w:fill="auto"/>
                <w:lang w:val="ru-RU" w:eastAsia="ru-RU" w:bidi="ru-RU"/>
              </w:rPr>
              <w:t>С.А. Евстратова</w:t>
            </w:r>
          </w:p>
        </w:tc>
      </w:tr>
      <w:tr>
        <w:trPr>
          <w:trHeight w:val="1315" w:hRule="exact"/>
        </w:trPr>
        <w:tc>
          <w:tcPr>
            <w:tcBorders/>
            <w:shd w:val="clear" w:color="auto" w:fill="auto"/>
            <w:vAlign w:val="top"/>
          </w:tcPr>
          <w:p>
            <w:pPr>
              <w:widowControl w:val="0"/>
              <w:rPr>
                <w:sz w:val="10"/>
                <w:szCs w:val="10"/>
              </w:rPr>
            </w:pPr>
          </w:p>
        </w:tc>
        <w:tc>
          <w:tcPr>
            <w:tcBorders/>
            <w:shd w:val="clear" w:color="auto" w:fill="auto"/>
            <w:vAlign w:val="bottom"/>
          </w:tcPr>
          <w:p>
            <w:pPr>
              <w:pStyle w:val="Style22"/>
              <w:keepNext w:val="0"/>
              <w:keepLines w:val="0"/>
              <w:widowControl w:val="0"/>
              <w:shd w:val="clear" w:color="auto" w:fill="auto"/>
              <w:bidi w:val="0"/>
              <w:spacing w:before="0" w:after="100" w:line="240" w:lineRule="auto"/>
              <w:ind w:left="0" w:right="0" w:firstLine="440"/>
              <w:jc w:val="left"/>
              <w:rPr>
                <w:sz w:val="22"/>
                <w:szCs w:val="22"/>
              </w:rPr>
            </w:pPr>
            <w:r>
              <w:rPr>
                <w:rFonts w:ascii="Arial" w:eastAsia="Arial" w:hAnsi="Arial" w:cs="Arial"/>
                <w:b/>
                <w:bCs/>
                <w:color w:val="898989"/>
                <w:spacing w:val="0"/>
                <w:w w:val="100"/>
                <w:position w:val="0"/>
                <w:sz w:val="22"/>
                <w:szCs w:val="22"/>
                <w:shd w:val="clear" w:color="auto" w:fill="auto"/>
                <w:lang w:val="ru-RU" w:eastAsia="ru-RU" w:bidi="ru-RU"/>
              </w:rPr>
              <w:t>Место для подписи:</w:t>
            </w:r>
          </w:p>
          <w:p>
            <w:pPr>
              <w:pStyle w:val="Style22"/>
              <w:keepNext w:val="0"/>
              <w:keepLines w:val="0"/>
              <w:widowControl w:val="0"/>
              <w:shd w:val="clear" w:color="auto" w:fill="auto"/>
              <w:bidi w:val="0"/>
              <w:spacing w:before="0" w:after="0" w:line="240" w:lineRule="auto"/>
              <w:ind w:left="0" w:right="0" w:firstLine="440"/>
              <w:jc w:val="left"/>
              <w:rPr>
                <w:sz w:val="26"/>
                <w:szCs w:val="26"/>
              </w:rPr>
            </w:pPr>
            <w:r>
              <w:rPr>
                <w:rFonts w:ascii="Arial" w:eastAsia="Arial" w:hAnsi="Arial" w:cs="Arial"/>
                <w:b/>
                <w:bCs/>
                <w:color w:val="898989"/>
                <w:spacing w:val="0"/>
                <w:w w:val="100"/>
                <w:position w:val="0"/>
                <w:sz w:val="26"/>
                <w:szCs w:val="26"/>
                <w:shd w:val="clear" w:color="auto" w:fill="auto"/>
                <w:lang w:val="ru-RU" w:eastAsia="ru-RU" w:bidi="ru-RU"/>
              </w:rPr>
              <w:t>Кириленко В. Д.</w:t>
            </w:r>
          </w:p>
        </w:tc>
        <w:tc>
          <w:tcPr>
            <w:tcBorders/>
            <w:shd w:val="clear" w:color="auto" w:fill="auto"/>
            <w:vAlign w:val="top"/>
          </w:tcPr>
          <w:p>
            <w:pPr>
              <w:pStyle w:val="Style22"/>
              <w:keepNext w:val="0"/>
              <w:keepLines w:val="0"/>
              <w:widowControl w:val="0"/>
              <w:shd w:val="clear" w:color="auto" w:fill="auto"/>
              <w:bidi w:val="0"/>
              <w:spacing w:before="100" w:after="0" w:line="240" w:lineRule="auto"/>
              <w:ind w:left="0" w:right="0" w:firstLine="0"/>
              <w:jc w:val="right"/>
            </w:pPr>
            <w:r>
              <w:rPr>
                <w:color w:val="000000"/>
                <w:spacing w:val="0"/>
                <w:w w:val="100"/>
                <w:position w:val="0"/>
                <w:sz w:val="24"/>
                <w:szCs w:val="24"/>
                <w:shd w:val="clear" w:color="auto" w:fill="auto"/>
                <w:lang w:val="ru-RU" w:eastAsia="ru-RU" w:bidi="ru-RU"/>
              </w:rPr>
              <w:t>В.Д. Кириленко</w:t>
            </w:r>
          </w:p>
        </w:tc>
      </w:tr>
    </w:tbl>
    <w:p>
      <w:pPr>
        <w:widowControl w:val="0"/>
        <w:spacing w:after="4519" w:line="1" w:lineRule="exact"/>
      </w:pPr>
    </w:p>
    <w:p>
      <w:pPr>
        <w:pStyle w:val="Style5"/>
        <w:keepNext w:val="0"/>
        <w:keepLines w:val="0"/>
        <w:widowControl w:val="0"/>
        <w:shd w:val="clear" w:color="auto" w:fill="auto"/>
        <w:bidi w:val="0"/>
        <w:spacing w:before="0" w:after="0" w:line="240" w:lineRule="auto"/>
        <w:ind w:left="0" w:right="0" w:firstLine="0"/>
        <w:jc w:val="left"/>
        <w:rPr>
          <w:sz w:val="20"/>
          <w:szCs w:val="20"/>
        </w:rPr>
      </w:pPr>
      <w:r>
        <w:rPr>
          <w:b w:val="0"/>
          <w:bCs w:val="0"/>
          <w:color w:val="000000"/>
          <w:spacing w:val="0"/>
          <w:w w:val="100"/>
          <w:position w:val="0"/>
          <w:sz w:val="20"/>
          <w:szCs w:val="20"/>
          <w:shd w:val="clear" w:color="auto" w:fill="auto"/>
          <w:lang w:val="ru-RU" w:eastAsia="ru-RU" w:bidi="ru-RU"/>
        </w:rPr>
        <w:t>Исп.Кириленко В.Д.</w:t>
      </w:r>
    </w:p>
    <w:p>
      <w:pPr>
        <w:pStyle w:val="Style5"/>
        <w:keepNext w:val="0"/>
        <w:keepLines w:val="0"/>
        <w:widowControl w:val="0"/>
        <w:shd w:val="clear" w:color="auto" w:fill="auto"/>
        <w:bidi w:val="0"/>
        <w:spacing w:before="0" w:after="580" w:line="240" w:lineRule="auto"/>
        <w:ind w:left="0" w:right="0" w:firstLine="0"/>
        <w:jc w:val="both"/>
        <w:rPr>
          <w:sz w:val="20"/>
          <w:szCs w:val="20"/>
        </w:rPr>
      </w:pPr>
      <w:r>
        <w:rPr>
          <w:b w:val="0"/>
          <w:bCs w:val="0"/>
          <w:color w:val="000000"/>
          <w:spacing w:val="0"/>
          <w:w w:val="100"/>
          <w:position w:val="0"/>
          <w:sz w:val="20"/>
          <w:szCs w:val="20"/>
          <w:shd w:val="clear" w:color="auto" w:fill="auto"/>
          <w:lang w:val="ru-RU" w:eastAsia="ru-RU" w:bidi="ru-RU"/>
        </w:rPr>
        <w:t>тел.(863) 240-86-88, вн.061-131</w:t>
      </w:r>
    </w:p>
    <w:sectPr>
      <w:footnotePr>
        <w:pos w:val="pageBottom"/>
        <w:numFmt w:val="decimal"/>
        <w:numRestart w:val="continuous"/>
      </w:footnotePr>
      <w:type w:val="continuous"/>
      <w:pgSz w:w="11900" w:h="16840"/>
      <w:pgMar w:top="1027" w:right="522" w:bottom="1195" w:left="108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723265</wp:posOffset>
              </wp:positionH>
              <wp:positionV relativeFrom="page">
                <wp:posOffset>10001885</wp:posOffset>
              </wp:positionV>
              <wp:extent cx="6470650" cy="100330"/>
              <wp:wrapNone/>
              <wp:docPr id="9" name="Shape 9"/>
              <a:graphic xmlns:a="http://schemas.openxmlformats.org/drawingml/2006/main">
                <a:graphicData uri="http://schemas.microsoft.com/office/word/2010/wordprocessingShape">
                  <wps:wsp>
                    <wps:cNvSpPr txBox="1"/>
                    <wps:spPr>
                      <a:xfrm>
                        <a:ext cx="6470650" cy="100330"/>
                      </a:xfrm>
                      <a:prstGeom prst="rect"/>
                      <a:noFill/>
                    </wps:spPr>
                    <wps:txbx>
                      <w:txbxContent>
                        <w:p>
                          <w:pPr>
                            <w:pStyle w:val="Style11"/>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2023-24072</w:t>
                            <w:tab/>
                          </w:r>
                          <w:fldSimple w:instr=" PAGE \* MERGEFORMAT ">
                            <w:r>
                              <w:rPr>
                                <w:color w:val="000000"/>
                                <w:spacing w:val="0"/>
                                <w:w w:val="100"/>
                                <w:position w:val="0"/>
                                <w:sz w:val="24"/>
                                <w:szCs w:val="24"/>
                                <w:shd w:val="clear" w:color="auto" w:fill="auto"/>
                                <w:lang w:val="ru-RU" w:eastAsia="ru-RU" w:bidi="ru-RU"/>
                              </w:rPr>
                              <w:t>#</w:t>
                            </w:r>
                          </w:fldSimple>
                        </w:p>
                      </w:txbxContent>
                    </wps:txbx>
                    <wps:bodyPr lIns="0" tIns="0" rIns="0" bIns="0">
                      <a:spAutoFit/>
                    </wps:bodyPr>
                  </wps:wsp>
                </a:graphicData>
              </a:graphic>
            </wp:anchor>
          </w:drawing>
        </mc:Choice>
        <mc:Fallback>
          <w:pict>
            <v:shape id="_x0000_s1035" type="#_x0000_t202" style="position:absolute;margin-left:56.950000000000003pt;margin-top:787.55000000000007pt;width:509.5pt;height:7.9000000000000004pt;z-index:-188744063;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2023-24072</w:t>
                      <w:tab/>
                    </w: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725170" cy="100330"/>
              <wp:wrapNone/>
              <wp:docPr id="11" name="Shape 11"/>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2023-24072</w:t>
                          </w:r>
                        </w:p>
                      </w:txbxContent>
                    </wps:txbx>
                    <wps:bodyPr wrap="none" lIns="0" tIns="0" rIns="0" bIns="0">
                      <a:spAutoFit/>
                    </wps:bodyPr>
                  </wps:wsp>
                </a:graphicData>
              </a:graphic>
            </wp:anchor>
          </w:drawing>
        </mc:Choice>
        <mc:Fallback>
          <w:pict>
            <v:shape id="_x0000_s1037" type="#_x0000_t202" style="position:absolute;margin-left:57.pt;margin-top:776.20000000000005pt;width:57.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2023-24072</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color w:val="4561A3"/>
      <w:sz w:val="16"/>
      <w:szCs w:val="16"/>
      <w:u w:val="none"/>
    </w:rPr>
  </w:style>
  <w:style w:type="character" w:customStyle="1" w:styleId="CharStyle6">
    <w:name w:val="Основной текст (3)_"/>
    <w:basedOn w:val="DefaultParagraphFont"/>
    <w:link w:val="Style5"/>
    <w:rPr>
      <w:rFonts w:ascii="Times New Roman" w:eastAsia="Times New Roman" w:hAnsi="Times New Roman" w:cs="Times New Roman"/>
      <w:b/>
      <w:bCs/>
      <w:i w:val="0"/>
      <w:iCs w:val="0"/>
      <w:smallCaps w:val="0"/>
      <w:strike w:val="0"/>
      <w:color w:val="4561A3"/>
      <w:sz w:val="19"/>
      <w:szCs w:val="19"/>
      <w:u w:val="none"/>
    </w:rPr>
  </w:style>
  <w:style w:type="character" w:customStyle="1" w:styleId="CharStyle8">
    <w:name w:val="Подпись к картинке_"/>
    <w:basedOn w:val="DefaultParagraphFont"/>
    <w:link w:val="Style7"/>
    <w:rPr>
      <w:rFonts w:ascii="Times New Roman" w:eastAsia="Times New Roman" w:hAnsi="Times New Roman" w:cs="Times New Roman"/>
      <w:b w:val="0"/>
      <w:bCs w:val="0"/>
      <w:i w:val="0"/>
      <w:iCs w:val="0"/>
      <w:smallCaps w:val="0"/>
      <w:strike w:val="0"/>
      <w:color w:val="4561A3"/>
      <w:sz w:val="19"/>
      <w:szCs w:val="19"/>
      <w:u w:val="none"/>
    </w:rPr>
  </w:style>
  <w:style w:type="character" w:customStyle="1" w:styleId="CharStyle10">
    <w:name w:val="Основной текст_"/>
    <w:basedOn w:val="DefaultParagraphFont"/>
    <w:link w:val="Style9"/>
    <w:rPr>
      <w:rFonts w:ascii="Times New Roman" w:eastAsia="Times New Roman" w:hAnsi="Times New Roman" w:cs="Times New Roman"/>
      <w:b w:val="0"/>
      <w:bCs w:val="0"/>
      <w:i w:val="0"/>
      <w:iCs w:val="0"/>
      <w:smallCaps w:val="0"/>
      <w:strike w:val="0"/>
      <w:u w:val="none"/>
    </w:rPr>
  </w:style>
  <w:style w:type="character" w:customStyle="1" w:styleId="CharStyle12">
    <w:name w:val="Колонтитул (2)_"/>
    <w:basedOn w:val="DefaultParagraphFont"/>
    <w:link w:val="Style11"/>
    <w:rPr>
      <w:rFonts w:ascii="Times New Roman" w:eastAsia="Times New Roman" w:hAnsi="Times New Roman" w:cs="Times New Roman"/>
      <w:b w:val="0"/>
      <w:bCs w:val="0"/>
      <w:i w:val="0"/>
      <w:iCs w:val="0"/>
      <w:smallCaps w:val="0"/>
      <w:strike w:val="0"/>
      <w:sz w:val="20"/>
      <w:szCs w:val="20"/>
      <w:u w:val="none"/>
    </w:rPr>
  </w:style>
  <w:style w:type="character" w:customStyle="1" w:styleId="CharStyle23">
    <w:name w:val="Другое_"/>
    <w:basedOn w:val="DefaultParagraphFont"/>
    <w:link w:val="Style22"/>
    <w:rPr>
      <w:rFonts w:ascii="Times New Roman" w:eastAsia="Times New Roman" w:hAnsi="Times New Roman" w:cs="Times New Roman"/>
      <w:b w:val="0"/>
      <w:bCs w:val="0"/>
      <w:i w:val="0"/>
      <w:iCs w:val="0"/>
      <w:smallCaps w:val="0"/>
      <w:strike w:val="0"/>
      <w:u w:val="none"/>
    </w:rPr>
  </w:style>
  <w:style w:type="paragraph" w:customStyle="1" w:styleId="Style2">
    <w:name w:val="Основной текст (2)"/>
    <w:basedOn w:val="Normal"/>
    <w:link w:val="CharStyle3"/>
    <w:pPr>
      <w:widowControl w:val="0"/>
      <w:shd w:val="clear" w:color="auto" w:fill="auto"/>
      <w:spacing w:after="160" w:line="276" w:lineRule="auto"/>
      <w:jc w:val="center"/>
    </w:pPr>
    <w:rPr>
      <w:rFonts w:ascii="Times New Roman" w:eastAsia="Times New Roman" w:hAnsi="Times New Roman" w:cs="Times New Roman"/>
      <w:b w:val="0"/>
      <w:bCs w:val="0"/>
      <w:i w:val="0"/>
      <w:iCs w:val="0"/>
      <w:smallCaps w:val="0"/>
      <w:strike w:val="0"/>
      <w:color w:val="4561A3"/>
      <w:sz w:val="16"/>
      <w:szCs w:val="16"/>
      <w:u w:val="none"/>
    </w:rPr>
  </w:style>
  <w:style w:type="paragraph" w:customStyle="1" w:styleId="Style5">
    <w:name w:val="Основной текст (3)"/>
    <w:basedOn w:val="Normal"/>
    <w:link w:val="CharStyle6"/>
    <w:pPr>
      <w:widowControl w:val="0"/>
      <w:shd w:val="clear" w:color="auto" w:fill="auto"/>
      <w:spacing w:after="200"/>
      <w:jc w:val="center"/>
    </w:pPr>
    <w:rPr>
      <w:rFonts w:ascii="Times New Roman" w:eastAsia="Times New Roman" w:hAnsi="Times New Roman" w:cs="Times New Roman"/>
      <w:b/>
      <w:bCs/>
      <w:i w:val="0"/>
      <w:iCs w:val="0"/>
      <w:smallCaps w:val="0"/>
      <w:strike w:val="0"/>
      <w:color w:val="4561A3"/>
      <w:sz w:val="19"/>
      <w:szCs w:val="19"/>
      <w:u w:val="none"/>
    </w:rPr>
  </w:style>
  <w:style w:type="paragraph" w:customStyle="1" w:styleId="Style7">
    <w:name w:val="Подпись к картинке"/>
    <w:basedOn w:val="Normal"/>
    <w:link w:val="CharStyle8"/>
    <w:pPr>
      <w:widowControl w:val="0"/>
      <w:shd w:val="clear" w:color="auto" w:fill="auto"/>
    </w:pPr>
    <w:rPr>
      <w:rFonts w:ascii="Times New Roman" w:eastAsia="Times New Roman" w:hAnsi="Times New Roman" w:cs="Times New Roman"/>
      <w:b w:val="0"/>
      <w:bCs w:val="0"/>
      <w:i w:val="0"/>
      <w:iCs w:val="0"/>
      <w:smallCaps w:val="0"/>
      <w:strike w:val="0"/>
      <w:color w:val="4561A3"/>
      <w:sz w:val="19"/>
      <w:szCs w:val="19"/>
      <w:u w:val="none"/>
    </w:rPr>
  </w:style>
  <w:style w:type="paragraph" w:customStyle="1" w:styleId="Style9">
    <w:name w:val="Основной текст"/>
    <w:basedOn w:val="Normal"/>
    <w:link w:val="CharStyle10"/>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1">
    <w:name w:val="Колонтитул (2)"/>
    <w:basedOn w:val="Normal"/>
    <w:link w:val="CharStyle12"/>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22">
    <w:name w:val="Другое"/>
    <w:basedOn w:val="Normal"/>
    <w:link w:val="CharStyle23"/>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s>
</file>