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0" distR="0" simplePos="0" relativeHeight="125829378" behindDoc="0" locked="0" layoutInCell="1" allowOverlap="1">
            <wp:simplePos x="0" y="0"/>
            <wp:positionH relativeFrom="page">
              <wp:posOffset>3657600</wp:posOffset>
            </wp:positionH>
            <wp:positionV relativeFrom="paragraph">
              <wp:posOffset>132715</wp:posOffset>
            </wp:positionV>
            <wp:extent cx="567055" cy="67056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7055" cy="67056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4729480</wp:posOffset>
                </wp:positionH>
                <wp:positionV relativeFrom="paragraph">
                  <wp:posOffset>12700</wp:posOffset>
                </wp:positionV>
                <wp:extent cx="2045970" cy="1264285"/>
                <wp:wrapSquare wrapText="bothSides"/>
                <wp:docPr id="3" name="Shape 3"/>
                <a:graphic xmlns:a="http://schemas.openxmlformats.org/drawingml/2006/main">
                  <a:graphicData uri="http://schemas.microsoft.com/office/word/2010/wordprocessingShape">
                    <wps:wsp>
                      <wps:cNvSpPr txBox="1"/>
                      <wps:spPr>
                        <a:xfrm>
                          <a:ext cx="2045970" cy="1264285"/>
                        </a:xfrm>
                        <a:prstGeom prst="rect"/>
                        <a:noFill/>
                      </wps:spPr>
                      <wps:txbx>
                        <w:txbxContent>
                          <w:p>
                            <w:pPr>
                              <w:pStyle w:val="Style2"/>
                              <w:keepNext w:val="0"/>
                              <w:keepLines w:val="0"/>
                              <w:widowControl w:val="0"/>
                              <w:shd w:val="clear" w:color="auto" w:fill="auto"/>
                              <w:bidi w:val="0"/>
                              <w:spacing w:before="0" w:after="300" w:line="240" w:lineRule="auto"/>
                              <w:ind w:left="0" w:right="0" w:firstLine="0"/>
                              <w:jc w:val="center"/>
                              <w:rPr>
                                <w:sz w:val="24"/>
                                <w:szCs w:val="24"/>
                              </w:rPr>
                            </w:pPr>
                            <w:r>
                              <w:rPr>
                                <w:b/>
                                <w:bCs/>
                                <w:color w:val="738BB1"/>
                                <w:spacing w:val="0"/>
                                <w:w w:val="100"/>
                                <w:position w:val="0"/>
                                <w:sz w:val="24"/>
                                <w:szCs w:val="24"/>
                                <w:shd w:val="clear" w:color="auto" w:fill="auto"/>
                                <w:lang w:val="ru-RU" w:eastAsia="ru-RU" w:bidi="ru-RU"/>
                              </w:rPr>
                              <w:t>МОНОПОЛИЯГЭ КАРШЫ</w:t>
                              <w:br/>
                              <w:t>ФЕДЕРАЛЬ ХЕЗМОТ</w:t>
                            </w:r>
                          </w:p>
                          <w:p>
                            <w:pPr>
                              <w:pStyle w:val="Style2"/>
                              <w:keepNext w:val="0"/>
                              <w:keepLines w:val="0"/>
                              <w:widowControl w:val="0"/>
                              <w:shd w:val="clear" w:color="auto" w:fill="auto"/>
                              <w:bidi w:val="0"/>
                              <w:spacing w:before="0" w:after="0" w:line="223" w:lineRule="auto"/>
                              <w:ind w:left="0" w:right="0" w:firstLine="0"/>
                              <w:jc w:val="center"/>
                            </w:pPr>
                            <w:r>
                              <w:rPr>
                                <w:b/>
                                <w:bCs/>
                                <w:color w:val="738BB1"/>
                                <w:spacing w:val="0"/>
                                <w:w w:val="100"/>
                                <w:position w:val="0"/>
                                <w:shd w:val="clear" w:color="auto" w:fill="auto"/>
                                <w:lang w:val="ru-RU" w:eastAsia="ru-RU" w:bidi="ru-RU"/>
                              </w:rPr>
                              <w:t>Монополиям карты</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38BB1"/>
                                <w:spacing w:val="0"/>
                                <w:w w:val="100"/>
                                <w:position w:val="0"/>
                                <w:sz w:val="24"/>
                                <w:szCs w:val="24"/>
                                <w:shd w:val="clear" w:color="auto" w:fill="auto"/>
                                <w:lang w:val="ru-RU" w:eastAsia="ru-RU" w:bidi="ru-RU"/>
                              </w:rPr>
                              <w:t>Федераль хезмэтнен</w:t>
                              <w:br/>
                              <w:t>Татарстан Республикасы</w:t>
                              <w:br/>
                              <w:t>буенча идарэсе</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72.40000000000003pt;margin-top:1.pt;width:161.09999999999999pt;height:99.549999999999997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300" w:line="240" w:lineRule="auto"/>
                        <w:ind w:left="0" w:right="0" w:firstLine="0"/>
                        <w:jc w:val="center"/>
                        <w:rPr>
                          <w:sz w:val="24"/>
                          <w:szCs w:val="24"/>
                        </w:rPr>
                      </w:pPr>
                      <w:r>
                        <w:rPr>
                          <w:b/>
                          <w:bCs/>
                          <w:color w:val="738BB1"/>
                          <w:spacing w:val="0"/>
                          <w:w w:val="100"/>
                          <w:position w:val="0"/>
                          <w:sz w:val="24"/>
                          <w:szCs w:val="24"/>
                          <w:shd w:val="clear" w:color="auto" w:fill="auto"/>
                          <w:lang w:val="ru-RU" w:eastAsia="ru-RU" w:bidi="ru-RU"/>
                        </w:rPr>
                        <w:t>МОНОПОЛИЯГЭ КАРШЫ</w:t>
                        <w:br/>
                        <w:t>ФЕДЕРАЛЬ ХЕЗМОТ</w:t>
                      </w:r>
                    </w:p>
                    <w:p>
                      <w:pPr>
                        <w:pStyle w:val="Style2"/>
                        <w:keepNext w:val="0"/>
                        <w:keepLines w:val="0"/>
                        <w:widowControl w:val="0"/>
                        <w:shd w:val="clear" w:color="auto" w:fill="auto"/>
                        <w:bidi w:val="0"/>
                        <w:spacing w:before="0" w:after="0" w:line="223" w:lineRule="auto"/>
                        <w:ind w:left="0" w:right="0" w:firstLine="0"/>
                        <w:jc w:val="center"/>
                      </w:pPr>
                      <w:r>
                        <w:rPr>
                          <w:b/>
                          <w:bCs/>
                          <w:color w:val="738BB1"/>
                          <w:spacing w:val="0"/>
                          <w:w w:val="100"/>
                          <w:position w:val="0"/>
                          <w:shd w:val="clear" w:color="auto" w:fill="auto"/>
                          <w:lang w:val="ru-RU" w:eastAsia="ru-RU" w:bidi="ru-RU"/>
                        </w:rPr>
                        <w:t>Монополиям карты</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38BB1"/>
                          <w:spacing w:val="0"/>
                          <w:w w:val="100"/>
                          <w:position w:val="0"/>
                          <w:sz w:val="24"/>
                          <w:szCs w:val="24"/>
                          <w:shd w:val="clear" w:color="auto" w:fill="auto"/>
                          <w:lang w:val="ru-RU" w:eastAsia="ru-RU" w:bidi="ru-RU"/>
                        </w:rPr>
                        <w:t>Федераль хезмэтнен</w:t>
                        <w:br/>
                        <w:t>Татарстан Республикасы</w:t>
                        <w:br/>
                        <w:t>буенча идарэсе</w:t>
                      </w:r>
                    </w:p>
                  </w:txbxContent>
                </v:textbox>
                <w10:wrap type="square" anchorx="page"/>
              </v:shape>
            </w:pict>
          </mc:Fallback>
        </mc:AlternateContent>
      </w:r>
    </w:p>
    <w:p>
      <w:pPr>
        <w:pStyle w:val="Style2"/>
        <w:keepNext w:val="0"/>
        <w:keepLines w:val="0"/>
        <w:widowControl w:val="0"/>
        <w:shd w:val="clear" w:color="auto" w:fill="auto"/>
        <w:bidi w:val="0"/>
        <w:spacing w:before="0" w:after="0" w:line="240" w:lineRule="auto"/>
        <w:ind w:left="1060" w:right="0" w:firstLine="0"/>
        <w:jc w:val="both"/>
        <w:rPr>
          <w:sz w:val="24"/>
          <w:szCs w:val="24"/>
        </w:rPr>
      </w:pPr>
      <w:r>
        <w:rPr>
          <w:b/>
          <w:bCs/>
          <w:color w:val="738BB1"/>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after="300" w:line="240" w:lineRule="auto"/>
        <w:ind w:left="0" w:right="0" w:firstLine="0"/>
        <w:jc w:val="left"/>
        <w:rPr>
          <w:sz w:val="24"/>
          <w:szCs w:val="24"/>
        </w:rPr>
      </w:pPr>
      <w:r>
        <w:rPr>
          <w:b/>
          <w:bCs/>
          <w:color w:val="738BB1"/>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877" w:right="6141" w:bottom="1313" w:left="1123" w:header="0" w:footer="3" w:gutter="0"/>
          <w:pgNumType w:start="1"/>
          <w:cols w:space="720"/>
          <w:noEndnote/>
          <w:titlePg/>
          <w:rtlGutter w:val="0"/>
          <w:docGrid w:linePitch="360"/>
        </w:sectPr>
      </w:pPr>
      <w:r>
        <w:rPr>
          <w:b/>
          <w:bCs/>
          <w:color w:val="738BB1"/>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p>
      <w:pPr>
        <w:widowControl w:val="0"/>
        <w:spacing w:line="147" w:lineRule="exact"/>
        <w:rPr>
          <w:sz w:val="12"/>
          <w:szCs w:val="12"/>
        </w:rPr>
      </w:pPr>
    </w:p>
    <w:p>
      <w:pPr>
        <w:widowControl w:val="0"/>
        <w:spacing w:line="1" w:lineRule="exact"/>
        <w:sectPr>
          <w:footnotePr>
            <w:pos w:val="pageBottom"/>
            <w:numFmt w:val="decimal"/>
            <w:numRestart w:val="continuous"/>
          </w:footnotePr>
          <w:type w:val="continuous"/>
          <w:pgSz w:w="11900" w:h="16840"/>
          <w:pgMar w:top="877" w:right="0" w:bottom="1313" w:left="0" w:header="0" w:footer="3" w:gutter="0"/>
          <w:cols w:space="720"/>
          <w:noEndnote/>
          <w:rtlGutter w:val="0"/>
          <w:docGrid w:linePitch="360"/>
        </w:sectPr>
      </w:pPr>
    </w:p>
    <w:p>
      <w:pPr>
        <w:pStyle w:val="Style6"/>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е-таП: и&gt;16@Га8.§о\.ги</w:t>
      </w:r>
    </w:p>
    <w:p>
      <w:pPr>
        <w:pStyle w:val="Style6"/>
        <w:keepNext w:val="0"/>
        <w:keepLines w:val="0"/>
        <w:widowControl w:val="0"/>
        <w:shd w:val="clear" w:color="auto" w:fill="auto"/>
        <w:bidi w:val="0"/>
        <w:spacing w:before="0" w:after="0" w:line="288" w:lineRule="auto"/>
        <w:ind w:left="0" w:right="0" w:firstLine="0"/>
        <w:jc w:val="center"/>
        <w:sectPr>
          <w:footnotePr>
            <w:pos w:val="pageBottom"/>
            <w:numFmt w:val="decimal"/>
            <w:numRestart w:val="continuous"/>
          </w:footnotePr>
          <w:type w:val="continuous"/>
          <w:pgSz w:w="11900" w:h="16840"/>
          <w:pgMar w:top="877" w:right="1367" w:bottom="1313" w:left="1692" w:header="0" w:footer="3" w:gutter="0"/>
          <w:cols w:num="2" w:space="2952"/>
          <w:noEndnote/>
          <w:rtlGutter w:val="0"/>
          <w:docGrid w:linePitch="360"/>
        </w:sectPr>
      </w:pPr>
      <w:r>
        <w:rPr>
          <w:spacing w:val="0"/>
          <w:w w:val="100"/>
          <w:position w:val="0"/>
          <w:shd w:val="clear" w:color="auto" w:fill="auto"/>
          <w:lang w:val="ru-RU" w:eastAsia="ru-RU" w:bidi="ru-RU"/>
        </w:rPr>
        <w:t>Мэскэу ур., 55 порт. Казан шэИэре, 420021</w:t>
        <w:br/>
        <w:t>тел.: (843) 236-89-22, факс (843) 238-19-46</w:t>
        <w:br/>
        <w:t>е-таП: 1о 16@Га5.§оу.т</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877" w:right="0" w:bottom="1313" w:left="0" w:header="0" w:footer="3" w:gutter="0"/>
          <w:cols w:space="720"/>
          <w:noEndnote/>
          <w:rtlGutter w:val="0"/>
          <w:docGrid w:linePitch="360"/>
        </w:sectPr>
      </w:pPr>
    </w:p>
    <w:p>
      <w:pPr>
        <w:pStyle w:val="Style8"/>
        <w:keepNext w:val="0"/>
        <w:keepLines w:val="0"/>
        <w:framePr w:w="3215" w:h="436" w:wrap="none" w:vAnchor="text" w:hAnchor="page" w:x="1185" w:y="35"/>
        <w:widowControl w:val="0"/>
        <w:shd w:val="clear" w:color="auto" w:fill="auto"/>
        <w:tabs>
          <w:tab w:pos="2884" w:val="left"/>
        </w:tabs>
        <w:bidi w:val="0"/>
        <w:spacing w:before="0" w:after="0" w:line="240" w:lineRule="auto"/>
        <w:ind w:left="0" w:right="0" w:firstLine="0"/>
        <w:jc w:val="left"/>
        <w:rPr>
          <w:sz w:val="30"/>
          <w:szCs w:val="30"/>
        </w:rPr>
      </w:pPr>
      <w:r>
        <w:rPr>
          <w:rFonts w:ascii="Arial" w:eastAsia="Arial" w:hAnsi="Arial" w:cs="Arial"/>
          <w:color w:val="5248AB"/>
          <w:spacing w:val="0"/>
          <w:w w:val="100"/>
          <w:position w:val="0"/>
          <w:sz w:val="36"/>
          <w:szCs w:val="36"/>
          <w:shd w:val="clear" w:color="auto" w:fill="auto"/>
          <w:lang w:val="ru-RU" w:eastAsia="ru-RU" w:bidi="ru-RU"/>
        </w:rPr>
        <w:t>хУ</w:t>
      </w:r>
      <w:r>
        <w:rPr>
          <w:rFonts w:ascii="Arial" w:eastAsia="Arial" w:hAnsi="Arial" w:cs="Arial"/>
          <w:color w:val="5248AB"/>
          <w:spacing w:val="0"/>
          <w:w w:val="100"/>
          <w:position w:val="0"/>
          <w:sz w:val="36"/>
          <w:szCs w:val="36"/>
          <w:u w:val="single"/>
          <w:shd w:val="clear" w:color="auto" w:fill="auto"/>
          <w:lang w:val="ru-RU" w:eastAsia="ru-RU" w:bidi="ru-RU"/>
        </w:rPr>
        <w:t xml:space="preserve"> </w:t>
      </w:r>
      <w:r>
        <w:rPr>
          <w:rFonts w:ascii="Courier New" w:eastAsia="Courier New" w:hAnsi="Courier New" w:cs="Courier New"/>
          <w:i/>
          <w:iCs/>
          <w:color w:val="5248AB"/>
          <w:spacing w:val="0"/>
          <w:w w:val="100"/>
          <w:position w:val="0"/>
          <w:sz w:val="30"/>
          <w:szCs w:val="30"/>
          <w:shd w:val="clear" w:color="auto" w:fill="auto"/>
          <w:lang w:val="ru-RU" w:eastAsia="ru-RU" w:bidi="ru-RU"/>
        </w:rPr>
        <w:t>/г.</w:t>
        <w:tab/>
        <w:t>&amp;</w:t>
      </w:r>
    </w:p>
    <w:p>
      <w:pPr>
        <w:widowControl w:val="0"/>
        <w:spacing w:after="449" w:line="1" w:lineRule="exact"/>
      </w:pPr>
      <w:r>
        <w:drawing>
          <wp:anchor distT="0" distB="15875" distL="2043430" distR="0" simplePos="0" relativeHeight="62914694" behindDoc="1" locked="0" layoutInCell="1" allowOverlap="1">
            <wp:simplePos x="0" y="0"/>
            <wp:positionH relativeFrom="page">
              <wp:posOffset>2795270</wp:posOffset>
            </wp:positionH>
            <wp:positionV relativeFrom="paragraph">
              <wp:posOffset>12700</wp:posOffset>
            </wp:positionV>
            <wp:extent cx="987425" cy="26797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987425" cy="26797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877" w:right="492" w:bottom="1313" w:left="1123" w:header="0" w:footer="3" w:gutter="0"/>
          <w:cols w:space="720"/>
          <w:noEndnote/>
          <w:rtlGutter w:val="0"/>
          <w:docGrid w:linePitch="360"/>
        </w:sectPr>
      </w:pPr>
    </w:p>
    <w:p>
      <w:pPr>
        <w:pStyle w:val="Style2"/>
        <w:keepNext w:val="0"/>
        <w:keepLines w:val="0"/>
        <w:widowControl w:val="0"/>
        <w:shd w:val="clear" w:color="auto" w:fill="auto"/>
        <w:bidi w:val="0"/>
        <w:spacing w:before="0" w:after="0"/>
        <w:ind w:left="5260" w:right="0" w:firstLine="0"/>
        <w:jc w:val="left"/>
      </w:pPr>
      <w:r>
        <mc:AlternateContent>
          <mc:Choice Requires="wps">
            <w:drawing>
              <wp:anchor distT="0" distB="0" distL="114300" distR="114300" simplePos="0" relativeHeight="125829381" behindDoc="0" locked="0" layoutInCell="1" allowOverlap="1">
                <wp:simplePos x="0" y="0"/>
                <wp:positionH relativeFrom="page">
                  <wp:posOffset>763270</wp:posOffset>
                </wp:positionH>
                <wp:positionV relativeFrom="paragraph">
                  <wp:posOffset>165100</wp:posOffset>
                </wp:positionV>
                <wp:extent cx="2540000" cy="194310"/>
                <wp:wrapSquare wrapText="right"/>
                <wp:docPr id="11" name="Shape 11"/>
                <a:graphic xmlns:a="http://schemas.openxmlformats.org/drawingml/2006/main">
                  <a:graphicData uri="http://schemas.microsoft.com/office/word/2010/wordprocessingShape">
                    <wps:wsp>
                      <wps:cNvSpPr txBox="1"/>
                      <wps:spPr>
                        <a:xfrm>
                          <a:ext cx="2540000" cy="1943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738BB1"/>
                                <w:spacing w:val="0"/>
                                <w:w w:val="100"/>
                                <w:position w:val="0"/>
                                <w:sz w:val="24"/>
                                <w:szCs w:val="24"/>
                                <w:shd w:val="clear" w:color="auto" w:fill="auto"/>
                                <w:lang w:val="ru-RU" w:eastAsia="ru-RU" w:bidi="ru-RU"/>
                              </w:rPr>
                              <w:t>На №от</w:t>
                            </w:r>
                          </w:p>
                        </w:txbxContent>
                      </wps:txbx>
                      <wps:bodyPr wrap="none" lIns="0" tIns="0" rIns="0" bIns="0">
                        <a:noAutoFit/>
                      </wps:bodyPr>
                    </wps:wsp>
                  </a:graphicData>
                </a:graphic>
              </wp:anchor>
            </w:drawing>
          </mc:Choice>
          <mc:Fallback>
            <w:pict>
              <v:shape id="_x0000_s1037" type="#_x0000_t202" style="position:absolute;margin-left:60.100000000000001pt;margin-top:13.pt;width:200.pt;height:15.300000000000001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738BB1"/>
                          <w:spacing w:val="0"/>
                          <w:w w:val="100"/>
                          <w:position w:val="0"/>
                          <w:sz w:val="24"/>
                          <w:szCs w:val="24"/>
                          <w:shd w:val="clear" w:color="auto" w:fill="auto"/>
                          <w:lang w:val="ru-RU" w:eastAsia="ru-RU" w:bidi="ru-RU"/>
                        </w:rPr>
                        <w:t>На №от</w:t>
                      </w:r>
                    </w:p>
                  </w:txbxContent>
                </v:textbox>
                <w10:wrap type="square" side="right" anchorx="page"/>
              </v:shape>
            </w:pict>
          </mc:Fallback>
        </mc:AlternateContent>
      </w:r>
      <w:r>
        <w:rPr>
          <w:color w:val="000000"/>
          <w:spacing w:val="0"/>
          <w:w w:val="100"/>
          <w:position w:val="0"/>
          <w:shd w:val="clear" w:color="auto" w:fill="auto"/>
          <w:lang w:val="ru-RU" w:eastAsia="ru-RU" w:bidi="ru-RU"/>
        </w:rPr>
        <w:t>Уполномоченному органу:</w:t>
      </w:r>
    </w:p>
    <w:p>
      <w:pPr>
        <w:pStyle w:val="Style2"/>
        <w:keepNext w:val="0"/>
        <w:keepLines w:val="0"/>
        <w:widowControl w:val="0"/>
        <w:shd w:val="clear" w:color="auto" w:fill="auto"/>
        <w:bidi w:val="0"/>
        <w:spacing w:before="0" w:after="300"/>
        <w:ind w:left="5260" w:right="0" w:hanging="4240"/>
        <w:jc w:val="left"/>
      </w:pPr>
      <w:r>
        <w:rPr>
          <w:color w:val="000000"/>
          <w:spacing w:val="0"/>
          <w:w w:val="100"/>
          <w:position w:val="0"/>
          <w:shd w:val="clear" w:color="auto" w:fill="auto"/>
          <w:lang w:val="ru-RU" w:eastAsia="ru-RU" w:bidi="ru-RU"/>
        </w:rPr>
        <w:t xml:space="preserve">МУНИЦИПАЛЬНОЕ КАЗЕННОЕ УЧРЕЖДЕНИЕ "ИСПОЛНИТЕЛЬНЫЙ КОМИТЕТ МУНИЦИПАЛЬНОГО ОБРАЗОВАНИЯ ГОРОД НАБЕРЕЖНЫЕ ЧЕЛНЫ РЕСПУБЛИКИ ТАТАРСТАН" </w:t>
      </w:r>
      <w:r>
        <w:rPr>
          <w:color w:val="000000"/>
          <w:spacing w:val="0"/>
          <w:w w:val="100"/>
          <w:position w:val="0"/>
          <w:u w:val="single"/>
          <w:shd w:val="clear" w:color="auto" w:fill="auto"/>
          <w:lang w:val="ru-RU" w:eastAsia="ru-RU" w:bidi="ru-RU"/>
        </w:rPr>
        <w:t>ата1@таП.ги</w:t>
      </w:r>
    </w:p>
    <w:p>
      <w:pPr>
        <w:pStyle w:val="Style2"/>
        <w:keepNext w:val="0"/>
        <w:keepLines w:val="0"/>
        <w:widowControl w:val="0"/>
        <w:shd w:val="clear" w:color="auto" w:fill="auto"/>
        <w:bidi w:val="0"/>
        <w:spacing w:before="0" w:after="300"/>
        <w:ind w:left="5260" w:right="0" w:firstLine="20"/>
        <w:jc w:val="left"/>
      </w:pPr>
      <w:r>
        <w:rPr>
          <w:color w:val="000000"/>
          <w:spacing w:val="0"/>
          <w:w w:val="100"/>
          <w:position w:val="0"/>
          <w:shd w:val="clear" w:color="auto" w:fill="auto"/>
          <w:lang w:val="ru-RU" w:eastAsia="ru-RU" w:bidi="ru-RU"/>
        </w:rPr>
        <w:t xml:space="preserve">Заказчику: МУНИЦИПАЛЬНОЕ БЮДЖЕТНОЕ УЧРЕЖДЕНИЕ ДОПОЛНИТЕЛЬНОГО ОБРАЗОВАНИЯ ГОРОДА НАБЕРЕЖНЫЕ ЧЕЛНЫ "СПОРТИВНАЯ ШКОЛА "ЧЕЛНЫ" </w:t>
      </w:r>
      <w:r>
        <w:rPr>
          <w:color w:val="000000"/>
          <w:spacing w:val="0"/>
          <w:w w:val="100"/>
          <w:position w:val="0"/>
          <w:u w:val="single"/>
          <w:shd w:val="clear" w:color="auto" w:fill="auto"/>
          <w:lang w:val="ru-RU" w:eastAsia="ru-RU" w:bidi="ru-RU"/>
        </w:rPr>
        <w:t>1с18-ске1пу@та11.ги</w:t>
      </w:r>
    </w:p>
    <w:p>
      <w:pPr>
        <w:pStyle w:val="Style2"/>
        <w:keepNext w:val="0"/>
        <w:keepLines w:val="0"/>
        <w:widowControl w:val="0"/>
        <w:shd w:val="clear" w:color="auto" w:fill="auto"/>
        <w:bidi w:val="0"/>
        <w:spacing w:before="0" w:after="300"/>
        <w:ind w:left="5260" w:right="0" w:firstLine="20"/>
        <w:jc w:val="left"/>
      </w:pPr>
      <w:r>
        <w:rPr>
          <w:color w:val="000000"/>
          <w:spacing w:val="0"/>
          <w:w w:val="100"/>
          <w:position w:val="0"/>
          <w:shd w:val="clear" w:color="auto" w:fill="auto"/>
          <w:lang w:val="ru-RU" w:eastAsia="ru-RU" w:bidi="ru-RU"/>
        </w:rPr>
        <w:t xml:space="preserve">Заявителям: Каримову Дамиру Тагировичу </w:t>
      </w:r>
      <w:r>
        <w:rPr>
          <w:color w:val="000000"/>
          <w:spacing w:val="0"/>
          <w:w w:val="100"/>
          <w:position w:val="0"/>
          <w:u w:val="single"/>
          <w:shd w:val="clear" w:color="auto" w:fill="auto"/>
          <w:lang w:val="ru-RU" w:eastAsia="ru-RU" w:bidi="ru-RU"/>
        </w:rPr>
        <w:t>капт 121 @таП.ги</w:t>
      </w:r>
    </w:p>
    <w:p>
      <w:pPr>
        <w:pStyle w:val="Style2"/>
        <w:keepNext w:val="0"/>
        <w:keepLines w:val="0"/>
        <w:widowControl w:val="0"/>
        <w:shd w:val="clear" w:color="auto" w:fill="auto"/>
        <w:bidi w:val="0"/>
        <w:spacing w:before="0" w:after="300" w:line="264" w:lineRule="auto"/>
        <w:ind w:left="5260" w:right="0" w:firstLine="20"/>
        <w:jc w:val="left"/>
      </w:pPr>
      <w:r>
        <w:rPr>
          <w:color w:val="000000"/>
          <w:spacing w:val="0"/>
          <w:w w:val="100"/>
          <w:position w:val="0"/>
          <w:shd w:val="clear" w:color="auto" w:fill="auto"/>
          <w:lang w:val="ru-RU" w:eastAsia="ru-RU" w:bidi="ru-RU"/>
        </w:rPr>
        <w:t xml:space="preserve">ООО "ПРИНТ-К" </w:t>
      </w:r>
      <w:r>
        <w:rPr>
          <w:color w:val="000000"/>
          <w:spacing w:val="0"/>
          <w:w w:val="100"/>
          <w:position w:val="0"/>
          <w:u w:val="single"/>
          <w:shd w:val="clear" w:color="auto" w:fill="auto"/>
          <w:lang w:val="ru-RU" w:eastAsia="ru-RU" w:bidi="ru-RU"/>
        </w:rPr>
        <w:t>Дккс1@таП.ги</w:t>
      </w:r>
    </w:p>
    <w:p>
      <w:pPr>
        <w:pStyle w:val="Style2"/>
        <w:keepNext w:val="0"/>
        <w:keepLines w:val="0"/>
        <w:widowControl w:val="0"/>
        <w:shd w:val="clear" w:color="auto" w:fill="auto"/>
        <w:bidi w:val="0"/>
        <w:spacing w:before="0" w:after="0" w:line="240" w:lineRule="auto"/>
        <w:ind w:left="0" w:right="0" w:firstLine="0"/>
        <w:jc w:val="center"/>
        <w:rPr>
          <w:sz w:val="28"/>
          <w:szCs w:val="28"/>
        </w:rPr>
      </w:pPr>
      <w:r>
        <w:rPr>
          <w:b/>
          <w:bCs/>
          <w:color w:val="000000"/>
          <w:spacing w:val="0"/>
          <w:w w:val="100"/>
          <w:position w:val="0"/>
          <w:sz w:val="28"/>
          <w:szCs w:val="28"/>
          <w:shd w:val="clear" w:color="auto" w:fill="auto"/>
          <w:lang w:val="ru-RU" w:eastAsia="ru-RU" w:bidi="ru-RU"/>
        </w:rPr>
        <w:t>Решение по делу № 016/06/33-1778/2023</w:t>
      </w:r>
    </w:p>
    <w:p>
      <w:pPr>
        <w:pStyle w:val="Style2"/>
        <w:keepNext w:val="0"/>
        <w:keepLines w:val="0"/>
        <w:widowControl w:val="0"/>
        <w:shd w:val="clear" w:color="auto" w:fill="auto"/>
        <w:tabs>
          <w:tab w:pos="9065" w:val="left"/>
        </w:tabs>
        <w:bidi w:val="0"/>
        <w:spacing w:before="0" w:after="300"/>
        <w:ind w:left="0" w:right="0" w:firstLine="0"/>
        <w:jc w:val="left"/>
      </w:pPr>
      <w:r>
        <w:rPr>
          <w:color w:val="000000"/>
          <w:spacing w:val="0"/>
          <w:w w:val="100"/>
          <w:position w:val="0"/>
          <w:shd w:val="clear" w:color="auto" w:fill="auto"/>
          <w:lang w:val="ru-RU" w:eastAsia="ru-RU" w:bidi="ru-RU"/>
        </w:rPr>
        <w:t>14 декабря 2023 года</w:t>
        <w:tab/>
        <w:t>г. Казань</w:t>
      </w:r>
    </w:p>
    <w:p>
      <w:pPr>
        <w:pStyle w:val="Style2"/>
        <w:keepNext w:val="0"/>
        <w:keepLines w:val="0"/>
        <w:widowControl w:val="0"/>
        <w:shd w:val="clear" w:color="auto" w:fill="auto"/>
        <w:bidi w:val="0"/>
        <w:spacing w:before="0" w:after="0" w:line="254" w:lineRule="auto"/>
        <w:ind w:left="0" w:right="0" w:firstLine="68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в составе:</w:t>
      </w:r>
    </w:p>
    <w:p>
      <w:pPr>
        <w:pStyle w:val="Style2"/>
        <w:keepNext w:val="0"/>
        <w:keepLines w:val="0"/>
        <w:widowControl w:val="0"/>
        <w:shd w:val="clear" w:color="auto" w:fill="auto"/>
        <w:tabs>
          <w:tab w:pos="6063" w:val="left"/>
        </w:tabs>
        <w:bidi w:val="0"/>
        <w:spacing w:before="0" w:after="0" w:line="254" w:lineRule="auto"/>
        <w:ind w:left="0" w:right="0" w:firstLine="820"/>
        <w:jc w:val="left"/>
      </w:pPr>
      <w:r>
        <w:rPr>
          <w:color w:val="000000"/>
          <w:spacing w:val="0"/>
          <w:w w:val="100"/>
          <w:position w:val="0"/>
          <w:shd w:val="clear" w:color="auto" w:fill="auto"/>
          <w:lang w:val="ru-RU" w:eastAsia="ru-RU" w:bidi="ru-RU"/>
        </w:rPr>
        <w:t>Зам. Председателя Комиссии:</w:t>
        <w:tab/>
        <w:t>Кучеевой А.С. - начальника</w:t>
      </w:r>
    </w:p>
    <w:p>
      <w:pPr>
        <w:pStyle w:val="Style2"/>
        <w:keepNext w:val="0"/>
        <w:keepLines w:val="0"/>
        <w:widowControl w:val="0"/>
        <w:shd w:val="clear" w:color="auto" w:fill="auto"/>
        <w:bidi w:val="0"/>
        <w:spacing w:before="0" w:after="0" w:line="254" w:lineRule="auto"/>
        <w:ind w:left="6060" w:right="0" w:firstLine="0"/>
        <w:jc w:val="left"/>
      </w:pPr>
      <w:r>
        <w:rPr>
          <w:color w:val="000000"/>
          <w:spacing w:val="0"/>
          <w:w w:val="100"/>
          <w:position w:val="0"/>
          <w:shd w:val="clear" w:color="auto" w:fill="auto"/>
          <w:lang w:val="ru-RU" w:eastAsia="ru-RU" w:bidi="ru-RU"/>
        </w:rPr>
        <w:t>отдела,</w:t>
      </w:r>
    </w:p>
    <w:p>
      <w:pPr>
        <w:pStyle w:val="Style2"/>
        <w:keepNext w:val="0"/>
        <w:keepLines w:val="0"/>
        <w:widowControl w:val="0"/>
        <w:shd w:val="clear" w:color="auto" w:fill="auto"/>
        <w:tabs>
          <w:tab w:pos="6063" w:val="left"/>
        </w:tabs>
        <w:bidi w:val="0"/>
        <w:spacing w:before="0" w:after="0" w:line="254" w:lineRule="auto"/>
        <w:ind w:left="0" w:right="0" w:firstLine="820"/>
        <w:jc w:val="left"/>
      </w:pPr>
      <w:r>
        <w:rPr>
          <w:color w:val="000000"/>
          <w:spacing w:val="0"/>
          <w:w w:val="100"/>
          <w:position w:val="0"/>
          <w:shd w:val="clear" w:color="auto" w:fill="auto"/>
          <w:lang w:val="ru-RU" w:eastAsia="ru-RU" w:bidi="ru-RU"/>
        </w:rPr>
        <w:t>Членов Комиссии:</w:t>
        <w:tab/>
        <w:t>Никитиной И.Г - специалиста 1</w:t>
      </w:r>
    </w:p>
    <w:p>
      <w:pPr>
        <w:pStyle w:val="Style2"/>
        <w:keepNext w:val="0"/>
        <w:keepLines w:val="0"/>
        <w:widowControl w:val="0"/>
        <w:shd w:val="clear" w:color="auto" w:fill="auto"/>
        <w:bidi w:val="0"/>
        <w:spacing w:before="0" w:after="100" w:line="254" w:lineRule="auto"/>
        <w:ind w:left="6060" w:right="0" w:firstLine="0"/>
        <w:jc w:val="left"/>
      </w:pPr>
      <w:r>
        <w:rPr>
          <w:color w:val="000000"/>
          <w:spacing w:val="0"/>
          <w:w w:val="100"/>
          <w:position w:val="0"/>
          <w:shd w:val="clear" w:color="auto" w:fill="auto"/>
          <w:lang w:val="ru-RU" w:eastAsia="ru-RU" w:bidi="ru-RU"/>
        </w:rPr>
        <w:t xml:space="preserve">разряда, Акперовой Л.А. — главного </w:t>
      </w:r>
      <w:r>
        <w:rPr>
          <w:color w:val="000000"/>
          <w:spacing w:val="0"/>
          <w:w w:val="100"/>
          <w:position w:val="0"/>
          <w:shd w:val="clear" w:color="auto" w:fill="auto"/>
          <w:lang w:val="ru-RU" w:eastAsia="ru-RU" w:bidi="ru-RU"/>
        </w:rPr>
        <w:t>специалиста-эксперта,</w:t>
      </w:r>
    </w:p>
    <w:p>
      <w:pPr>
        <w:pStyle w:val="Style2"/>
        <w:keepNext w:val="0"/>
        <w:keepLines w:val="0"/>
        <w:widowControl w:val="0"/>
        <w:shd w:val="clear" w:color="auto" w:fill="auto"/>
        <w:bidi w:val="0"/>
        <w:spacing w:before="0" w:after="320" w:line="262" w:lineRule="auto"/>
        <w:ind w:left="0" w:right="0" w:firstLine="720"/>
        <w:jc w:val="both"/>
      </w:pPr>
      <w:r>
        <w:rPr>
          <w:color w:val="000000"/>
          <w:spacing w:val="0"/>
          <w:w w:val="100"/>
          <w:position w:val="0"/>
          <w:shd w:val="clear" w:color="auto" w:fill="auto"/>
          <w:lang w:val="ru-RU" w:eastAsia="ru-RU" w:bidi="ru-RU"/>
        </w:rPr>
        <w:t>в присутствии представителей уполномоченного органа МКУ «ИСПОЛНИТЕЛЬНЫЙ КОМИТЕТ МУНИЦИПАЛЬНОГО ОБРАЗОВАНИЯ ГОРОД НАБЕРЕЖНЫЕ ЧЕЛНЫ РЕСПУБЛИКИ ТАТАРСТАН» - Бикташевой Л.Р. (по доверенности), Хамидулина Д.Ф. (по доверенности), представителя заказчика МБУДО ГОРОДА НАБЕРЕЖНЫЕ ЧЕЛНЫ «СПОРТИВНАЯ ШКОЛА «ЧЕЛНЫ» - Ильина Р.А. (по доверенности), заявителя - Каримова Д.Т., в отсутствие представителей ООО «ПРИНТ-К», о месте и времени рассмотрения жалоб извещенных надлежащим образом, рассмотрев посредством видеоконференции жалобы заявителей Каримова Д.Т и ООО «ПРИНТ-К» (№13213/ж, №13216/ж от 11.12.2023г., в ЕИС от 09.12.2023г) на действия уполномоченного органа МКУ «ИСПОЛНИТЕЛЬНЫЙ КОМИТЕТ МУНИЦИПАЛЬНОГО ОБРАЗОВАНИЯ ГОРОД НАБЕРЕЖНЫЕ ЧЕЛНЫ РЕСПУБЛИКИ ТАТАРСТАН», заказчика МБУДО ГОРОДА НАБЕРЕЖНЫЕ ЧЕЛНЫ «СПОРТИВНАЯ ШКОЛА «ЧЕЛНЫ» при проведении закупки № 0111300000823000789 на предмет: «Поставка контрольно</w:t>
        <w:softHyphen/>
        <w:t>пропускного пункта в сборе для нужд МБУДО «СШ «Челны»»</w:t>
      </w:r>
    </w:p>
    <w:p>
      <w:pPr>
        <w:pStyle w:val="Style2"/>
        <w:keepNext w:val="0"/>
        <w:keepLines w:val="0"/>
        <w:widowControl w:val="0"/>
        <w:shd w:val="clear" w:color="auto" w:fill="auto"/>
        <w:bidi w:val="0"/>
        <w:spacing w:before="0" w:after="320"/>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Извещение о проведении электронного аукциона № 0111300000823000789 на предмет: «Поставка контрольно-пропускного пункта в сборе для нужд МБУДО «СШ «Челны»»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хуу/у/./акиркгцоу.ги</w:t>
      </w:r>
      <w:r>
        <w:rPr>
          <w:color w:val="000000"/>
          <w:spacing w:val="0"/>
          <w:w w:val="100"/>
          <w:position w:val="0"/>
          <w:shd w:val="clear" w:color="auto" w:fill="auto"/>
          <w:lang w:val="ru-RU" w:eastAsia="ru-RU" w:bidi="ru-RU"/>
        </w:rPr>
        <w:t xml:space="preserve"> 01.12.2023 г.</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Суть жалоб: по мнению заявителей, при проведении закупки нарушены требования действующего законодательства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Уполномоченный орган и Заказчик с доводами, изложенными в жалобах, не согласились, представили устные и письменные пояснения.</w:t>
      </w:r>
    </w:p>
    <w:p>
      <w:pPr>
        <w:pStyle w:val="Style2"/>
        <w:keepNext w:val="0"/>
        <w:keepLines w:val="0"/>
        <w:widowControl w:val="0"/>
        <w:shd w:val="clear" w:color="auto" w:fill="auto"/>
        <w:bidi w:val="0"/>
        <w:spacing w:before="0" w:after="0"/>
        <w:ind w:left="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заявителей на действия заказчика, позиции заказчика и уполномоченного органа, изучения документации приходит к следующим выводам.</w:t>
      </w:r>
    </w:p>
    <w:p>
      <w:pPr>
        <w:pStyle w:val="Style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Относительно доводов заявителей о необоснованном укрупнении объекта закупки.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со статьей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
        <w:keepNext w:val="0"/>
        <w:keepLines w:val="0"/>
        <w:widowControl w:val="0"/>
        <w:shd w:val="clear" w:color="auto" w:fill="auto"/>
        <w:bidi w:val="0"/>
        <w:spacing w:before="0" w:after="0"/>
        <w:ind w:left="0" w:right="0" w:firstLine="720"/>
        <w:jc w:val="both"/>
        <w:sectPr>
          <w:footnotePr>
            <w:pos w:val="pageBottom"/>
            <w:numFmt w:val="decimal"/>
            <w:numRestart w:val="continuous"/>
          </w:footnotePr>
          <w:type w:val="continuous"/>
          <w:pgSz w:w="11900" w:h="16840"/>
          <w:pgMar w:top="1002" w:right="560" w:bottom="1394" w:left="1007" w:header="0" w:footer="3" w:gutter="0"/>
          <w:cols w:space="720"/>
          <w:noEndnote/>
          <w:rtlGutter w:val="0"/>
          <w:docGrid w:linePitch="360"/>
        </w:sectPr>
      </w:pPr>
      <w:r>
        <w:rPr>
          <w:color w:val="000000"/>
          <w:spacing w:val="0"/>
          <w:w w:val="100"/>
          <w:position w:val="0"/>
          <w:shd w:val="clear" w:color="auto" w:fill="auto"/>
          <w:lang w:val="ru-RU" w:eastAsia="ru-RU" w:bidi="ru-RU"/>
        </w:rPr>
        <w:t xml:space="preserve">В соответствии со статьей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сроке исполнения контракта (отдельных этапов исполнения контракта, если проектом контракта предусмотрены такие этапы).</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установлено, что заказчик в случаях, предусмотренных Законом о контрактной системе, в описании объекта закупки указывает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Исходя из буквального толкования и смысла вышеуказанных норм, запрещаются любые действия, которые приводят или могут привести к недопущению, ограничению или устранению конкуренции при проведении торгов.</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По мнению заявителя, Заказчиком объединены в одной закупке, не связанные </w:t>
      </w:r>
      <w:r>
        <w:rPr>
          <w:color w:val="000000"/>
          <w:spacing w:val="0"/>
          <w:w w:val="100"/>
          <w:position w:val="0"/>
          <w:shd w:val="clear" w:color="auto" w:fill="auto"/>
          <w:lang w:val="ru-RU" w:eastAsia="ru-RU" w:bidi="ru-RU"/>
        </w:rPr>
        <w:t>между собой товары, работы, услуги, что свидетельствует о необоснованном укрупнении объекта закупки, ограничивающим потенциальный круг возможных участников закупки.</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Проанализировав описание объекта закупки, установлено, что участник рассматриваемой закупки должен будет поставить контрольно-пропускной пункт в сборе со шлагбаумами согласно ОКПД2 25.11.10.000: Здания сборные из металла.</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Согласно представленным доводам Заявителей, описание объекта закупки содержит требования, не позволяющие однозначно трактовать критерии технических характеристик, которые использованы в описании объекта закупки. Например, характеристика «Основание для установки КПП - монолитная площадка из бетона» не содержит характеристик марки бетона, подлежащего применению, а также физические параметры монолитной площадки, размеры, параметры углубления, пределы нагрузки.</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Также, исходя их представленных доводов Заявителей, в одном объекте закупки объединены строительно-монтажные работы по возведению помещения КПП и поставка товаров для внутреннего устройства КПП, а именно Заказчиком необоснованно осуществлено укрупнение объекта закупки на следующие самостоятельные элементы:</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монолитная площадка из бетона - не является товаром к поставке, фактически СМР по изготовлению опалубки под конструкцию;</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поставка Линолеума не менее 1 комплект с определенными техническими характеристиками;</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поставка Турникета-трипода (не менее 2 комплекта);</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поставка Преграждающих планок с пластиковыми торцевыми заглушками;</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поставка Источника стабилизированного питания (не менее 1 шт.);</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поставка Инверторной сплит-системы;</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поставка Энергосберегающего обогревателя (не менее 2 шт.);</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поставка Камер видеонаблюдения (не менее 2шт);</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поставка Шлагбаума;</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поставка мебели.</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Согласно описанию объекта закупки в комплект поставки здания КПП должны входить:</w:t>
      </w:r>
    </w:p>
    <w:p>
      <w:pPr>
        <w:pStyle w:val="Style2"/>
        <w:keepNext w:val="0"/>
        <w:keepLines w:val="0"/>
        <w:widowControl w:val="0"/>
        <w:numPr>
          <w:ilvl w:val="0"/>
          <w:numId w:val="1"/>
        </w:numPr>
        <w:shd w:val="clear" w:color="auto" w:fill="auto"/>
        <w:tabs>
          <w:tab w:pos="964" w:val="left"/>
        </w:tabs>
        <w:bidi w:val="0"/>
        <w:spacing w:before="0" w:after="0" w:line="262" w:lineRule="auto"/>
        <w:ind w:left="0" w:right="0" w:firstLine="720"/>
        <w:jc w:val="both"/>
      </w:pPr>
      <w:r>
        <w:rPr>
          <w:color w:val="000000"/>
          <w:spacing w:val="0"/>
          <w:w w:val="100"/>
          <w:position w:val="0"/>
          <w:shd w:val="clear" w:color="auto" w:fill="auto"/>
          <w:lang w:val="ru-RU" w:eastAsia="ru-RU" w:bidi="ru-RU"/>
        </w:rPr>
        <w:t>здание КПП в заданных ТЗ габаритах и комплектации;</w:t>
      </w:r>
    </w:p>
    <w:p>
      <w:pPr>
        <w:pStyle w:val="Style2"/>
        <w:keepNext w:val="0"/>
        <w:keepLines w:val="0"/>
        <w:widowControl w:val="0"/>
        <w:numPr>
          <w:ilvl w:val="0"/>
          <w:numId w:val="1"/>
        </w:numPr>
        <w:shd w:val="clear" w:color="auto" w:fill="auto"/>
        <w:tabs>
          <w:tab w:pos="964" w:val="left"/>
        </w:tabs>
        <w:bidi w:val="0"/>
        <w:spacing w:before="0" w:after="0" w:line="262" w:lineRule="auto"/>
        <w:ind w:left="0" w:right="0" w:firstLine="720"/>
        <w:jc w:val="both"/>
      </w:pPr>
      <w:r>
        <w:rPr>
          <w:color w:val="000000"/>
          <w:spacing w:val="0"/>
          <w:w w:val="100"/>
          <w:position w:val="0"/>
          <w:shd w:val="clear" w:color="auto" w:fill="auto"/>
          <w:lang w:val="ru-RU" w:eastAsia="ru-RU" w:bidi="ru-RU"/>
        </w:rPr>
        <w:t>паспорт изделия и комплектующих;</w:t>
      </w:r>
    </w:p>
    <w:p>
      <w:pPr>
        <w:pStyle w:val="Style2"/>
        <w:keepNext w:val="0"/>
        <w:keepLines w:val="0"/>
        <w:widowControl w:val="0"/>
        <w:numPr>
          <w:ilvl w:val="0"/>
          <w:numId w:val="1"/>
        </w:numPr>
        <w:shd w:val="clear" w:color="auto" w:fill="auto"/>
        <w:tabs>
          <w:tab w:pos="964" w:val="left"/>
        </w:tabs>
        <w:bidi w:val="0"/>
        <w:spacing w:before="0" w:after="0" w:line="262" w:lineRule="auto"/>
        <w:ind w:left="0" w:right="0" w:firstLine="720"/>
        <w:jc w:val="both"/>
      </w:pPr>
      <w:r>
        <w:rPr>
          <w:color w:val="000000"/>
          <w:spacing w:val="0"/>
          <w:w w:val="100"/>
          <w:position w:val="0"/>
          <w:shd w:val="clear" w:color="auto" w:fill="auto"/>
          <w:lang w:val="ru-RU" w:eastAsia="ru-RU" w:bidi="ru-RU"/>
        </w:rPr>
        <w:t>сертификаты на изделие в целом и комплектующие;</w:t>
      </w:r>
    </w:p>
    <w:p>
      <w:pPr>
        <w:pStyle w:val="Style2"/>
        <w:keepNext w:val="0"/>
        <w:keepLines w:val="0"/>
        <w:widowControl w:val="0"/>
        <w:numPr>
          <w:ilvl w:val="0"/>
          <w:numId w:val="1"/>
        </w:numPr>
        <w:shd w:val="clear" w:color="auto" w:fill="auto"/>
        <w:tabs>
          <w:tab w:pos="957" w:val="left"/>
        </w:tabs>
        <w:bidi w:val="0"/>
        <w:spacing w:before="0" w:after="0" w:line="262" w:lineRule="auto"/>
        <w:ind w:left="0" w:right="0" w:firstLine="720"/>
        <w:jc w:val="both"/>
      </w:pPr>
      <w:r>
        <w:rPr>
          <w:color w:val="000000"/>
          <w:spacing w:val="0"/>
          <w:w w:val="100"/>
          <w:position w:val="0"/>
          <w:shd w:val="clear" w:color="auto" w:fill="auto"/>
          <w:lang w:val="ru-RU" w:eastAsia="ru-RU" w:bidi="ru-RU"/>
        </w:rPr>
        <w:t>эксплуатационная документация в объеме, предусмотренном ГОСТ 2.601- 2006.</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Комиссия, изучив Извещение и приложения к Извещению, приходит к выводу, что указанные Заказчиком в описании объекта закупки товары и услуги функционально-технологически связаны и составляют комплекс работ, предусматривающий поставку, установку и монтаж контрольно-пропускного пункта.</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С учетом изложенных обстоятельств, Комиссия Татарстанского УФАС России не находит в действиях Заказчика нарушений норм законодательства о контрактной системе в извещении проводимой закупки.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Доводы заявителей признаны необоснованными.</w:t>
      </w:r>
    </w:p>
    <w:p>
      <w:pPr>
        <w:pStyle w:val="Style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В ходе проведения внеплановой документарной проверки в соответствии с частью 15 статьи 99 Закона о контрактной системе Комиссией Татарстанского УФАС России выявлены следующие нарушения.</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статье 8 Закона о контрактной системе:</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1 части 2 статьи 42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Pr>
          <w:color w:val="000000"/>
          <w:spacing w:val="0"/>
          <w:w w:val="100"/>
          <w:position w:val="0"/>
          <w:shd w:val="clear" w:color="auto" w:fill="auto"/>
          <w:lang w:val="ru-RU" w:eastAsia="ru-RU" w:bidi="ru-RU"/>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Комиссией Татарстанского УФАС России в ходе анализа технического задания заказчика установлено, что Заказчиком при описании объекта закупки указан конкретный производитель требуемой камеры видеонаблюдения, а именно «Уличная купольная 1Р видеокамера (ЬТУ)». «ЬТУ» является брендом компании «ЛУИС+», следовательно, Заказчик прямо указывает на конкретную марку товара, без указания возможности поставить эквивалент.</w:t>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Комиссия приходит к выводу, что указание в техническом задании конкретного производителя, является признаком ограничения конкуренции в закупке, создает преимущество производителю (дистрибьютору, дилеру) и ограничивает участников закупки.</w:t>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Следовательно, заказчиком нарушены требования статей 6, 8, пункта 1 части 1, части 2 статьи 33 Закона о контрактной системе.</w:t>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Комиссия принимает решение о выдаче предписания об устранении нарушений требования действующего законодательства Российской Федерации о контрактной системе.</w:t>
      </w:r>
    </w:p>
    <w:p>
      <w:pPr>
        <w:pStyle w:val="Style2"/>
        <w:keepNext w:val="0"/>
        <w:keepLines w:val="0"/>
        <w:widowControl w:val="0"/>
        <w:shd w:val="clear" w:color="auto" w:fill="auto"/>
        <w:bidi w:val="0"/>
        <w:spacing w:before="0" w:after="300" w:line="262" w:lineRule="auto"/>
        <w:ind w:left="0" w:right="0" w:firstLine="70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И 44-ФЗ «О контрактной системе в сфере закупок товаров, работ, услуг для обеспечения государственных и муниципальных нужд», Комиссия</w:t>
      </w:r>
    </w:p>
    <w:p>
      <w:pPr>
        <w:pStyle w:val="Style2"/>
        <w:keepNext w:val="0"/>
        <w:keepLines w:val="0"/>
        <w:widowControl w:val="0"/>
        <w:shd w:val="clear" w:color="auto" w:fill="auto"/>
        <w:bidi w:val="0"/>
        <w:spacing w:before="0" w:after="300" w:line="262" w:lineRule="auto"/>
        <w:ind w:left="0" w:right="0" w:firstLine="0"/>
        <w:jc w:val="center"/>
      </w:pPr>
      <w:r>
        <w:rPr>
          <w:color w:val="000000"/>
          <w:spacing w:val="0"/>
          <w:w w:val="100"/>
          <w:position w:val="0"/>
          <w:shd w:val="clear" w:color="auto" w:fill="auto"/>
          <w:lang w:val="ru-RU" w:eastAsia="ru-RU" w:bidi="ru-RU"/>
        </w:rPr>
        <w:t>РЕШИЛА:</w:t>
      </w:r>
    </w:p>
    <w:p>
      <w:pPr>
        <w:pStyle w:val="Style2"/>
        <w:keepNext w:val="0"/>
        <w:keepLines w:val="0"/>
        <w:widowControl w:val="0"/>
        <w:numPr>
          <w:ilvl w:val="0"/>
          <w:numId w:val="3"/>
        </w:numPr>
        <w:shd w:val="clear" w:color="auto" w:fill="auto"/>
        <w:tabs>
          <w:tab w:pos="1036" w:val="left"/>
        </w:tabs>
        <w:bidi w:val="0"/>
        <w:spacing w:before="0" w:after="0" w:line="257" w:lineRule="auto"/>
        <w:ind w:left="0" w:right="0" w:firstLine="700"/>
        <w:jc w:val="both"/>
      </w:pPr>
      <w:r>
        <w:rPr>
          <w:color w:val="000000"/>
          <w:spacing w:val="0"/>
          <w:w w:val="100"/>
          <w:position w:val="0"/>
          <w:shd w:val="clear" w:color="auto" w:fill="auto"/>
          <w:lang w:val="ru-RU" w:eastAsia="ru-RU" w:bidi="ru-RU"/>
        </w:rPr>
        <w:t>Признать жалобы заявителей Каримова Д.Т. и ООО «ПРИНТ-К» (№13213/ж, №13216/ж от 11.12.2023г., в ЕИС от 09.12.2023г) на действия уполномоченного органа МКУ «ИСПОЛНИТЕЛЬНЫЙ КОМИТЕТ МУНИЦИПАЛЬНОГО ОБРАЗОВАНИЯ ГОРОД НАБЕРЕЖНЫЕ ЧЕЛНЫ РЕСПУБЛИКИ ТАТАРСТАН», заказчика МБУДО ГОРОДА НАБЕРЕЖНЫЕ ЧЕЛНЫ «СПОРТИВНАЯ ШКОЛА</w:t>
        <w:br w:type="page"/>
      </w:r>
      <w:r>
        <w:rPr>
          <w:color w:val="000000"/>
          <w:spacing w:val="0"/>
          <w:w w:val="100"/>
          <w:position w:val="0"/>
          <w:shd w:val="clear" w:color="auto" w:fill="auto"/>
          <w:lang w:val="ru-RU" w:eastAsia="ru-RU" w:bidi="ru-RU"/>
        </w:rPr>
        <w:t>«ЧЕЛНЫ» при проведении закупки № 0111300000823000789 на предмет: «Поставка контрольно-пропускного пункта в сборе для нужд МБУДО «СШ «Челны»» необоснованными.</w:t>
      </w:r>
    </w:p>
    <w:p>
      <w:pPr>
        <w:pStyle w:val="Style2"/>
        <w:keepNext w:val="0"/>
        <w:keepLines w:val="0"/>
        <w:widowControl w:val="0"/>
        <w:numPr>
          <w:ilvl w:val="0"/>
          <w:numId w:val="3"/>
        </w:numPr>
        <w:shd w:val="clear" w:color="auto" w:fill="auto"/>
        <w:tabs>
          <w:tab w:pos="1051" w:val="left"/>
        </w:tabs>
        <w:bidi w:val="0"/>
        <w:spacing w:before="0" w:after="0" w:line="262" w:lineRule="auto"/>
        <w:ind w:left="0" w:right="0" w:firstLine="740"/>
        <w:jc w:val="both"/>
      </w:pPr>
      <w:r>
        <w:rPr>
          <w:color w:val="000000"/>
          <w:spacing w:val="0"/>
          <w:w w:val="100"/>
          <w:position w:val="0"/>
          <w:shd w:val="clear" w:color="auto" w:fill="auto"/>
          <w:lang w:val="ru-RU" w:eastAsia="ru-RU" w:bidi="ru-RU"/>
        </w:rPr>
        <w:t>Признать в действиях уполномоченного органа МКУ «ИСПОЛНИТЕЛЬНЫЙ КОМИТЕТ МУНИЦИПАЛЬНОГО ОБРАЗОВАНИЯ ГОРОД НАБЕРЕЖНЫЕ ЧЕЛНЫ РЕСПУБЛИКИ ТАТАРСТАН», заказчика МБУДО ГОРОДА НАБЕРЕЖНЫЕ ЧЕЛНЫ «СПОРТИВНАЯ ШКОЛА «ЧЕЛНЫ» нарушение требований 6, 8, пункта 1 части 1, части 2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
        <w:keepNext w:val="0"/>
        <w:keepLines w:val="0"/>
        <w:widowControl w:val="0"/>
        <w:numPr>
          <w:ilvl w:val="0"/>
          <w:numId w:val="3"/>
        </w:numPr>
        <w:shd w:val="clear" w:color="auto" w:fill="auto"/>
        <w:tabs>
          <w:tab w:pos="1033" w:val="left"/>
        </w:tabs>
        <w:bidi w:val="0"/>
        <w:spacing w:before="0" w:after="0" w:line="262" w:lineRule="auto"/>
        <w:ind w:left="0" w:right="0" w:firstLine="740"/>
        <w:jc w:val="both"/>
      </w:pPr>
      <w:r>
        <w:rPr>
          <w:color w:val="000000"/>
          <w:spacing w:val="0"/>
          <w:w w:val="100"/>
          <w:position w:val="0"/>
          <w:shd w:val="clear" w:color="auto" w:fill="auto"/>
          <w:lang w:val="ru-RU" w:eastAsia="ru-RU" w:bidi="ru-RU"/>
        </w:rPr>
        <w:t>Выдать уполномоченному органу, заказчику и оператору ЭТП АГЗ РТ предписание об устранении нарушений действующего законодательства.</w:t>
      </w:r>
    </w:p>
    <w:p>
      <w:pPr>
        <w:pStyle w:val="Style2"/>
        <w:keepNext w:val="0"/>
        <w:keepLines w:val="0"/>
        <w:widowControl w:val="0"/>
        <w:numPr>
          <w:ilvl w:val="0"/>
          <w:numId w:val="3"/>
        </w:numPr>
        <w:shd w:val="clear" w:color="auto" w:fill="auto"/>
        <w:tabs>
          <w:tab w:pos="1036" w:val="left"/>
        </w:tabs>
        <w:bidi w:val="0"/>
        <w:spacing w:before="0" w:after="320" w:line="262" w:lineRule="auto"/>
        <w:ind w:left="0" w:right="0" w:firstLine="7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
        <w:keepNext w:val="0"/>
        <w:keepLines w:val="0"/>
        <w:widowControl w:val="0"/>
        <w:shd w:val="clear" w:color="auto" w:fill="auto"/>
        <w:bidi w:val="0"/>
        <w:spacing w:before="0" w:after="640" w:line="254" w:lineRule="auto"/>
        <w:ind w:left="0" w:right="0" w:firstLine="740"/>
        <w:jc w:val="both"/>
      </w:pPr>
      <w:r>
        <w:drawing>
          <wp:anchor distT="0" distB="0" distL="0" distR="64135" simplePos="0" relativeHeight="125829383" behindDoc="0" locked="0" layoutInCell="1" allowOverlap="1">
            <wp:simplePos x="0" y="0"/>
            <wp:positionH relativeFrom="page">
              <wp:posOffset>4277995</wp:posOffset>
            </wp:positionH>
            <wp:positionV relativeFrom="paragraph">
              <wp:posOffset>203200</wp:posOffset>
            </wp:positionV>
            <wp:extent cx="2736850" cy="2011680"/>
            <wp:wrapTight wrapText="bothSides">
              <wp:wrapPolygon>
                <wp:start x="0" y="0"/>
                <wp:lineTo x="12866" y="0"/>
                <wp:lineTo x="12866" y="14073"/>
                <wp:lineTo x="21600" y="14073"/>
                <wp:lineTo x="21600" y="21600"/>
                <wp:lineTo x="8156" y="21600"/>
                <wp:lineTo x="8156" y="21526"/>
                <wp:lineTo x="0" y="21526"/>
                <wp:lineTo x="0" y="0"/>
              </wp:wrapPolygon>
            </wp:wrapT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736850" cy="20116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6056630</wp:posOffset>
                </wp:positionH>
                <wp:positionV relativeFrom="paragraph">
                  <wp:posOffset>834390</wp:posOffset>
                </wp:positionV>
                <wp:extent cx="1021715" cy="205740"/>
                <wp:wrapNone/>
                <wp:docPr id="15" name="Shape 15"/>
                <a:graphic xmlns:a="http://schemas.openxmlformats.org/drawingml/2006/main">
                  <a:graphicData uri="http://schemas.microsoft.com/office/word/2010/wordprocessingShape">
                    <wps:wsp>
                      <wps:cNvSpPr txBox="1"/>
                      <wps:spPr>
                        <a:xfrm>
                          <a:ext cx="1021715" cy="20574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А.С. Кучеева</w:t>
                            </w:r>
                          </w:p>
                        </w:txbxContent>
                      </wps:txbx>
                      <wps:bodyPr lIns="0" tIns="0" rIns="0" bIns="0">
                        <a:noAutoFit/>
                      </wps:bodyPr>
                    </wps:wsp>
                  </a:graphicData>
                </a:graphic>
              </wp:anchor>
            </w:drawing>
          </mc:Choice>
          <mc:Fallback>
            <w:pict>
              <v:shape id="_x0000_s1041" type="#_x0000_t202" style="position:absolute;margin-left:476.90000000000003pt;margin-top:65.700000000000003pt;width:80.450000000000003pt;height:16.199999999999999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А.С. Кучеева</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5921375</wp:posOffset>
                </wp:positionH>
                <wp:positionV relativeFrom="paragraph">
                  <wp:posOffset>1240790</wp:posOffset>
                </wp:positionV>
                <wp:extent cx="1138555" cy="203200"/>
                <wp:wrapNone/>
                <wp:docPr id="17" name="Shape 17"/>
                <a:graphic xmlns:a="http://schemas.openxmlformats.org/drawingml/2006/main">
                  <a:graphicData uri="http://schemas.microsoft.com/office/word/2010/wordprocessingShape">
                    <wps:wsp>
                      <wps:cNvSpPr txBox="1"/>
                      <wps:spPr>
                        <a:xfrm>
                          <a:ext cx="1138555" cy="20320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И.Г Никитина</w:t>
                            </w:r>
                          </w:p>
                        </w:txbxContent>
                      </wps:txbx>
                      <wps:bodyPr lIns="0" tIns="0" rIns="0" bIns="0">
                        <a:noAutoFit/>
                      </wps:bodyPr>
                    </wps:wsp>
                  </a:graphicData>
                </a:graphic>
              </wp:anchor>
            </w:drawing>
          </mc:Choice>
          <mc:Fallback>
            <w:pict>
              <v:shape id="_x0000_s1043" type="#_x0000_t202" style="position:absolute;margin-left:466.25pt;margin-top:97.700000000000003pt;width:89.650000000000006pt;height:16.pt;z-index:251657731;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И.Г Никитина</w:t>
                      </w:r>
                    </w:p>
                  </w:txbxContent>
                </v:textbox>
                <w10:wrap anchorx="page"/>
              </v:shape>
            </w:pict>
          </mc:Fallback>
        </mc:AlternateContent>
      </w: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718820</wp:posOffset>
                </wp:positionH>
                <wp:positionV relativeFrom="paragraph">
                  <wp:posOffset>419100</wp:posOffset>
                </wp:positionV>
                <wp:extent cx="1383030" cy="203200"/>
                <wp:wrapTopAndBottom/>
                <wp:docPr id="19" name="Shape 19"/>
                <a:graphic xmlns:a="http://schemas.openxmlformats.org/drawingml/2006/main">
                  <a:graphicData uri="http://schemas.microsoft.com/office/word/2010/wordprocessingShape">
                    <wps:wsp>
                      <wps:cNvSpPr txBox="1"/>
                      <wps:spPr>
                        <a:xfrm>
                          <a:ext cx="1383030" cy="2032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56.600000000000001pt;margin-top:33.pt;width:108.90000000000001pt;height:16.pt;z-index:-12582936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rPr>
          <w:color w:val="000000"/>
          <w:spacing w:val="0"/>
          <w:w w:val="100"/>
          <w:position w:val="0"/>
          <w:shd w:val="clear" w:color="auto" w:fill="auto"/>
          <w:lang w:val="ru-RU" w:eastAsia="ru-RU" w:bidi="ru-RU"/>
        </w:rPr>
        <w:t>Зам. Председателя Комиссии:</w:t>
      </w:r>
    </w:p>
    <w:p>
      <w:pPr>
        <w:pStyle w:val="Style22"/>
        <w:keepNext w:val="0"/>
        <w:keepLines w:val="0"/>
        <w:widowControl w:val="0"/>
        <w:shd w:val="clear" w:color="auto" w:fill="auto"/>
        <w:bidi w:val="0"/>
        <w:spacing w:line="240" w:lineRule="auto"/>
        <w:ind w:left="0" w:right="0" w:firstLine="0"/>
        <w:jc w:val="both"/>
      </w:pPr>
      <w:r>
        <w:rPr>
          <w:color w:val="000000"/>
          <w:spacing w:val="0"/>
          <w:w w:val="100"/>
          <w:position w:val="0"/>
          <w:shd w:val="clear" w:color="auto" w:fill="auto"/>
          <w:lang w:val="ru-RU" w:eastAsia="ru-RU" w:bidi="ru-RU"/>
        </w:rPr>
        <w:t>Исп.: Никитина И.Г.8(843)293-10-91</w:t>
      </w:r>
    </w:p>
    <w:sectPr>
      <w:headerReference w:type="default" r:id="rId15"/>
      <w:footerReference w:type="default" r:id="rId16"/>
      <w:footnotePr>
        <w:pos w:val="pageBottom"/>
        <w:numFmt w:val="decimal"/>
        <w:numRestart w:val="continuous"/>
      </w:footnotePr>
      <w:pgSz w:w="11900" w:h="16840"/>
      <w:pgMar w:top="1002" w:right="560" w:bottom="1394" w:left="1007" w:header="0" w:footer="966"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788035</wp:posOffset>
              </wp:positionH>
              <wp:positionV relativeFrom="page">
                <wp:posOffset>10274300</wp:posOffset>
              </wp:positionV>
              <wp:extent cx="562610" cy="121285"/>
              <wp:wrapNone/>
              <wp:docPr id="7" name="Shape 7"/>
              <a:graphic xmlns:a="http://schemas.openxmlformats.org/drawingml/2006/main">
                <a:graphicData uri="http://schemas.microsoft.com/office/word/2010/wordprocessingShape">
                  <wps:wsp>
                    <wps:cNvSpPr txBox="1"/>
                    <wps:spPr>
                      <a:xfrm>
                        <a:ext cx="562610" cy="1212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Fonts w:ascii="Cambria" w:eastAsia="Cambria" w:hAnsi="Cambria" w:cs="Cambria"/>
                              <w:color w:val="000000"/>
                              <w:spacing w:val="0"/>
                              <w:w w:val="100"/>
                              <w:position w:val="0"/>
                              <w:sz w:val="28"/>
                              <w:szCs w:val="28"/>
                              <w:shd w:val="clear" w:color="auto" w:fill="auto"/>
                              <w:lang w:val="ru-RU" w:eastAsia="ru-RU" w:bidi="ru-RU"/>
                            </w:rPr>
                            <w:t>230607</w:t>
                          </w:r>
                        </w:p>
                      </w:txbxContent>
                    </wps:txbx>
                    <wps:bodyPr wrap="none" lIns="0" tIns="0" rIns="0" bIns="0">
                      <a:spAutoFit/>
                    </wps:bodyPr>
                  </wps:wsp>
                </a:graphicData>
              </a:graphic>
            </wp:anchor>
          </w:drawing>
        </mc:Choice>
        <mc:Fallback>
          <w:pict>
            <v:shape id="_x0000_s1033" type="#_x0000_t202" style="position:absolute;margin-left:62.050000000000004pt;margin-top:809.pt;width:44.300000000000004pt;height:9.5500000000000007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8"/>
                        <w:szCs w:val="28"/>
                      </w:rPr>
                    </w:pPr>
                    <w:r>
                      <w:rPr>
                        <w:rFonts w:ascii="Cambria" w:eastAsia="Cambria" w:hAnsi="Cambria" w:cs="Cambria"/>
                        <w:color w:val="000000"/>
                        <w:spacing w:val="0"/>
                        <w:w w:val="100"/>
                        <w:position w:val="0"/>
                        <w:sz w:val="28"/>
                        <w:szCs w:val="28"/>
                        <w:shd w:val="clear" w:color="auto" w:fill="auto"/>
                        <w:lang w:val="ru-RU" w:eastAsia="ru-RU" w:bidi="ru-RU"/>
                      </w:rPr>
                      <w:t>230607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3888105</wp:posOffset>
              </wp:positionH>
              <wp:positionV relativeFrom="page">
                <wp:posOffset>384810</wp:posOffset>
              </wp:positionV>
              <wp:extent cx="64135" cy="111760"/>
              <wp:wrapNone/>
              <wp:docPr id="5" name="Shape 5"/>
              <a:graphic xmlns:a="http://schemas.openxmlformats.org/drawingml/2006/main">
                <a:graphicData uri="http://schemas.microsoft.com/office/word/2010/wordprocessingShape">
                  <wps:wsp>
                    <wps:cNvSpPr txBox="1"/>
                    <wps:spPr>
                      <a:xfrm>
                        <a:ext cx="64135" cy="11176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6.15000000000003pt;margin-top:30.300000000000001pt;width:5.0499999999999998pt;height:8.8000000000000007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3895090</wp:posOffset>
              </wp:positionH>
              <wp:positionV relativeFrom="page">
                <wp:posOffset>373380</wp:posOffset>
              </wp:positionV>
              <wp:extent cx="57150" cy="109855"/>
              <wp:wrapNone/>
              <wp:docPr id="21" name="Shape 21"/>
              <a:graphic xmlns:a="http://schemas.openxmlformats.org/drawingml/2006/main">
                <a:graphicData uri="http://schemas.microsoft.com/office/word/2010/wordprocessingShape">
                  <wps:wsp>
                    <wps:cNvSpPr txBox="1"/>
                    <wps:spPr>
                      <a:xfrm>
                        <a:ext cx="57150" cy="10985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6.69999999999999pt;margin-top:29.400000000000002pt;width:4.5pt;height:8.6500000000000004pt;z-index:-188744058;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7">
    <w:name w:val="Основной текст (2)_"/>
    <w:basedOn w:val="DefaultParagraphFont"/>
    <w:link w:val="Style6"/>
    <w:rPr>
      <w:rFonts w:ascii="Times New Roman" w:eastAsia="Times New Roman" w:hAnsi="Times New Roman" w:cs="Times New Roman"/>
      <w:b w:val="0"/>
      <w:bCs w:val="0"/>
      <w:i w:val="0"/>
      <w:iCs w:val="0"/>
      <w:smallCaps w:val="0"/>
      <w:strike w:val="0"/>
      <w:color w:val="738BB1"/>
      <w:sz w:val="15"/>
      <w:szCs w:val="15"/>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Основной текст (3)_"/>
    <w:basedOn w:val="DefaultParagraphFont"/>
    <w:link w:val="Style22"/>
    <w:rPr>
      <w:rFonts w:ascii="Times New Roman" w:eastAsia="Times New Roman" w:hAnsi="Times New Roman" w:cs="Times New Roman"/>
      <w:b w:val="0"/>
      <w:bCs w:val="0"/>
      <w:i w:val="0"/>
      <w:iCs w:val="0"/>
      <w:smallCaps w:val="0"/>
      <w:strike w:val="0"/>
      <w:sz w:val="19"/>
      <w:szCs w:val="19"/>
      <w:u w:val="none"/>
    </w:rPr>
  </w:style>
  <w:style w:type="paragraph" w:customStyle="1" w:styleId="Style2">
    <w:name w:val="Основной текст"/>
    <w:basedOn w:val="Normal"/>
    <w:link w:val="CharStyle3"/>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6">
    <w:name w:val="Основной текст (2)"/>
    <w:basedOn w:val="Normal"/>
    <w:link w:val="CharStyle7"/>
    <w:pPr>
      <w:widowControl w:val="0"/>
      <w:shd w:val="clear" w:color="auto" w:fill="auto"/>
      <w:spacing w:line="286" w:lineRule="auto"/>
      <w:jc w:val="center"/>
    </w:pPr>
    <w:rPr>
      <w:rFonts w:ascii="Times New Roman" w:eastAsia="Times New Roman" w:hAnsi="Times New Roman" w:cs="Times New Roman"/>
      <w:b w:val="0"/>
      <w:bCs w:val="0"/>
      <w:i w:val="0"/>
      <w:iCs w:val="0"/>
      <w:smallCaps w:val="0"/>
      <w:strike w:val="0"/>
      <w:color w:val="738BB1"/>
      <w:sz w:val="15"/>
      <w:szCs w:val="15"/>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Основной текст (3)"/>
    <w:basedOn w:val="Normal"/>
    <w:link w:val="CharStyle23"/>
    <w:pPr>
      <w:widowControl w:val="0"/>
      <w:shd w:val="clear" w:color="auto" w:fill="auto"/>
      <w:spacing w:before="2880" w:after="320"/>
    </w:pPr>
    <w:rPr>
      <w:rFonts w:ascii="Times New Roman" w:eastAsia="Times New Roman" w:hAnsi="Times New Roman" w:cs="Times New Roman"/>
      <w:b w:val="0"/>
      <w:bCs w:val="0"/>
      <w:i w:val="0"/>
      <w:iCs w:val="0"/>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png"/><Relationship Id="rId14" Type="http://schemas.openxmlformats.org/officeDocument/2006/relationships/image" Target="media/image3.png" TargetMode="External"/><Relationship Id="rId15" Type="http://schemas.openxmlformats.org/officeDocument/2006/relationships/header" Target="header3.xml"/><Relationship Id="rId16" Type="http://schemas.openxmlformats.org/officeDocument/2006/relationships/footer" Target="footer3.xml"/></Relationships>
</file>