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62166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621665"/>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380" w:line="240" w:lineRule="auto"/>
        <w:ind w:left="0" w:right="0" w:firstLine="0"/>
        <w:jc w:val="center"/>
      </w:pPr>
      <w:r>
        <w:rPr>
          <w:b/>
          <w:bCs/>
          <w:color w:val="47629D"/>
          <w:spacing w:val="0"/>
          <w:w w:val="100"/>
          <w:position w:val="0"/>
          <w:shd w:val="clear" w:color="auto" w:fill="auto"/>
          <w:lang w:val="ru-RU" w:eastAsia="ru-RU" w:bidi="ru-RU"/>
        </w:rPr>
        <w:t>УПРАВЛЕНИЕ</w:t>
        <w:br/>
        <w:t>Федеральной антимонопольной службы</w:t>
        <w:br/>
        <w:t>по Смоленской области</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Октябрьской Революции, 14а, г. Смоленск, 214000</w:t>
        <w:br/>
        <w:t>тел.(4812) 38-62-22, факс (4812) 38-62-22</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1о67@Га8.§оу.ги</w:t>
      </w:r>
      <w:r>
        <w:fldChar w:fldCharType="end"/>
      </w:r>
    </w:p>
    <w:p>
      <w:pPr>
        <w:pStyle w:val="Style11"/>
        <w:keepNext/>
        <w:keepLines/>
        <w:widowControl w:val="0"/>
        <w:shd w:val="clear" w:color="auto" w:fill="auto"/>
        <w:tabs>
          <w:tab w:pos="1950" w:val="left"/>
        </w:tabs>
        <w:bidi w:val="0"/>
        <w:spacing w:before="0" w:line="240" w:lineRule="auto"/>
        <w:ind w:left="0" w:right="0"/>
        <w:jc w:val="left"/>
      </w:pPr>
      <w:bookmarkStart w:id="0" w:name="bookmark0"/>
      <w:r>
        <w:rPr>
          <w:color w:val="000000"/>
          <w:spacing w:val="0"/>
          <w:w w:val="100"/>
          <w:position w:val="0"/>
          <w:shd w:val="clear" w:color="auto" w:fill="auto"/>
          <w:lang w:val="ru-RU" w:eastAsia="ru-RU" w:bidi="ru-RU"/>
        </w:rPr>
        <w:t>19.12,2023</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НМ/3774/2</w:t>
      </w:r>
      <w:r>
        <w:rPr>
          <w:color w:val="000000"/>
          <w:spacing w:val="0"/>
          <w:w w:val="100"/>
          <w:position w:val="0"/>
          <w:u w:val="none"/>
          <w:shd w:val="clear" w:color="auto" w:fill="auto"/>
          <w:lang w:val="ru-RU" w:eastAsia="ru-RU" w:bidi="ru-RU"/>
        </w:rPr>
        <w:t>3</w:t>
      </w:r>
      <w:bookmarkEnd w:id="0"/>
    </w:p>
    <w:p>
      <w:pPr>
        <w:pStyle w:val="Style5"/>
        <w:keepNext w:val="0"/>
        <w:keepLines w:val="0"/>
        <w:widowControl w:val="0"/>
        <w:shd w:val="clear" w:color="auto" w:fill="auto"/>
        <w:bidi w:val="0"/>
        <w:spacing w:before="0" w:after="560"/>
        <w:ind w:left="0" w:right="0" w:firstLine="0"/>
        <w:jc w:val="left"/>
        <w:rPr>
          <w:sz w:val="17"/>
          <w:szCs w:val="17"/>
        </w:rPr>
      </w:pPr>
      <w:r>
        <w:rPr>
          <w:spacing w:val="0"/>
          <w:w w:val="100"/>
          <w:position w:val="0"/>
          <w:sz w:val="16"/>
          <w:szCs w:val="16"/>
          <w:shd w:val="clear" w:color="auto" w:fill="auto"/>
          <w:lang w:val="ru-RU" w:eastAsia="ru-RU" w:bidi="ru-RU"/>
        </w:rPr>
        <w:t xml:space="preserve">На№  </w:t>
      </w:r>
      <w:r>
        <w:rPr>
          <w:rFonts w:ascii="Arial" w:eastAsia="Arial" w:hAnsi="Arial" w:cs="Arial"/>
          <w:b/>
          <w:bCs/>
          <w:color w:val="828A9B"/>
          <w:spacing w:val="0"/>
          <w:w w:val="100"/>
          <w:position w:val="0"/>
          <w:sz w:val="17"/>
          <w:szCs w:val="17"/>
          <w:shd w:val="clear" w:color="auto" w:fill="auto"/>
          <w:lang w:val="ru-RU" w:eastAsia="ru-RU" w:bidi="ru-RU"/>
        </w:rPr>
        <w:t>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7"/>
        <w:keepNext/>
        <w:keepLines/>
        <w:widowControl w:val="0"/>
        <w:shd w:val="clear" w:color="auto" w:fill="auto"/>
        <w:bidi w:val="0"/>
        <w:spacing w:before="0" w:after="0"/>
        <w:ind w:left="0" w:right="0" w:firstLine="0"/>
        <w:jc w:val="left"/>
      </w:pPr>
      <w:bookmarkStart w:id="2" w:name="bookmark2"/>
      <w:r>
        <w:rPr>
          <w:color w:val="000000"/>
          <w:spacing w:val="0"/>
          <w:w w:val="100"/>
          <w:position w:val="0"/>
          <w:sz w:val="24"/>
          <w:szCs w:val="24"/>
          <w:shd w:val="clear" w:color="auto" w:fill="auto"/>
          <w:lang w:val="ru-RU" w:eastAsia="ru-RU" w:bidi="ru-RU"/>
        </w:rPr>
        <w:t>Государственному заказчику:</w:t>
      </w:r>
      <w:bookmarkEnd w:id="2"/>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 xml:space="preserve">ОГБУЗ «Клиническая больница скорой медицинской помощи» </w:t>
      </w:r>
      <w:r>
        <w:rPr>
          <w:color w:val="000000"/>
          <w:spacing w:val="0"/>
          <w:w w:val="100"/>
          <w:position w:val="0"/>
          <w:shd w:val="clear" w:color="auto" w:fill="auto"/>
          <w:lang w:val="ru-RU" w:eastAsia="ru-RU" w:bidi="ru-RU"/>
        </w:rPr>
        <w:t xml:space="preserve">ул. Тенишевой, д. 9, г. Смоленск, 214000 </w:t>
      </w:r>
      <w:r>
        <w:fldChar w:fldCharType="begin"/>
      </w:r>
      <w:r>
        <w:rPr/>
        <w:instrText> HYPERLINK "mailto:kbsmp.offis@mail.ru" </w:instrText>
      </w:r>
      <w:r>
        <w:fldChar w:fldCharType="separate"/>
      </w:r>
      <w:r>
        <w:rPr>
          <w:color w:val="000000"/>
          <w:spacing w:val="0"/>
          <w:w w:val="100"/>
          <w:position w:val="0"/>
          <w:shd w:val="clear" w:color="auto" w:fill="auto"/>
          <w:lang w:val="ru-RU" w:eastAsia="ru-RU" w:bidi="ru-RU"/>
        </w:rPr>
        <w:t>кЬзтр.оПЪ?/ таП.гн</w:t>
      </w:r>
      <w:r>
        <w:fldChar w:fldCharType="end"/>
      </w:r>
    </w:p>
    <w:p>
      <w:pPr>
        <w:pStyle w:val="Style17"/>
        <w:keepNext/>
        <w:keepLines/>
        <w:widowControl w:val="0"/>
        <w:shd w:val="clear" w:color="auto" w:fill="auto"/>
        <w:bidi w:val="0"/>
        <w:spacing w:before="0" w:after="0"/>
        <w:ind w:left="0" w:right="0" w:firstLine="0"/>
        <w:jc w:val="left"/>
      </w:pPr>
      <w:bookmarkStart w:id="4" w:name="bookmark4"/>
      <w:r>
        <w:rPr>
          <w:color w:val="000000"/>
          <w:spacing w:val="0"/>
          <w:w w:val="100"/>
          <w:position w:val="0"/>
          <w:sz w:val="24"/>
          <w:szCs w:val="24"/>
          <w:shd w:val="clear" w:color="auto" w:fill="auto"/>
          <w:lang w:val="ru-RU" w:eastAsia="ru-RU" w:bidi="ru-RU"/>
        </w:rPr>
        <w:t>Уполномоченному органу:</w:t>
      </w:r>
      <w:bookmarkEnd w:id="4"/>
    </w:p>
    <w:p>
      <w:pPr>
        <w:pStyle w:val="Style1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24"/>
          <w:szCs w:val="24"/>
          <w:shd w:val="clear" w:color="auto" w:fill="auto"/>
          <w:lang w:val="ru-RU" w:eastAsia="ru-RU" w:bidi="ru-RU"/>
        </w:rPr>
        <w:t xml:space="preserve">Главному управлению Смоленской области по регулированию контрактной системы </w:t>
      </w:r>
      <w:r>
        <w:rPr>
          <w:color w:val="000000"/>
          <w:spacing w:val="0"/>
          <w:w w:val="100"/>
          <w:position w:val="0"/>
          <w:sz w:val="19"/>
          <w:szCs w:val="19"/>
          <w:shd w:val="clear" w:color="auto" w:fill="auto"/>
          <w:lang w:val="ru-RU" w:eastAsia="ru-RU" w:bidi="ru-RU"/>
        </w:rPr>
        <w:t>пл. Ленина, 1, каб. 243, г. Смоленск, 214008</w:t>
      </w:r>
    </w:p>
    <w:p>
      <w:pPr>
        <w:pStyle w:val="Style8"/>
        <w:keepNext w:val="0"/>
        <w:keepLines w:val="0"/>
        <w:widowControl w:val="0"/>
        <w:shd w:val="clear" w:color="auto" w:fill="auto"/>
        <w:bidi w:val="0"/>
        <w:spacing w:before="0" w:line="264" w:lineRule="auto"/>
        <w:ind w:left="0" w:right="0" w:firstLine="0"/>
        <w:jc w:val="left"/>
      </w:pPr>
      <w:r>
        <w:fldChar w:fldCharType="begin"/>
      </w:r>
      <w:r>
        <w:rPr/>
        <w:instrText> HYPERLINK "mailto:goszakaz@admin-smolensk.ru" </w:instrText>
      </w:r>
      <w:r>
        <w:fldChar w:fldCharType="separate"/>
      </w:r>
      <w:r>
        <w:rPr>
          <w:color w:val="000000"/>
          <w:spacing w:val="0"/>
          <w:w w:val="100"/>
          <w:position w:val="0"/>
          <w:shd w:val="clear" w:color="auto" w:fill="auto"/>
          <w:lang w:val="ru-RU" w:eastAsia="ru-RU" w:bidi="ru-RU"/>
        </w:rPr>
        <w:t>8О8/ака/?/а(1т1п-8то1сп8к.ги</w:t>
      </w:r>
      <w:r>
        <w:fldChar w:fldCharType="end"/>
      </w:r>
    </w:p>
    <w:p>
      <w:pPr>
        <w:pStyle w:val="Style17"/>
        <w:keepNext/>
        <w:keepLines/>
        <w:widowControl w:val="0"/>
        <w:shd w:val="clear" w:color="auto" w:fill="auto"/>
        <w:bidi w:val="0"/>
        <w:spacing w:before="0" w:after="0"/>
        <w:ind w:left="0" w:right="0" w:firstLine="0"/>
        <w:jc w:val="left"/>
      </w:pPr>
      <w:bookmarkStart w:id="6" w:name="bookmark6"/>
      <w:r>
        <w:rPr>
          <w:color w:val="000000"/>
          <w:spacing w:val="0"/>
          <w:w w:val="100"/>
          <w:position w:val="0"/>
          <w:sz w:val="24"/>
          <w:szCs w:val="24"/>
          <w:shd w:val="clear" w:color="auto" w:fill="auto"/>
          <w:lang w:val="ru-RU" w:eastAsia="ru-RU" w:bidi="ru-RU"/>
        </w:rPr>
        <w:t>Заявителю:</w:t>
      </w:r>
      <w:bookmarkEnd w:id="6"/>
    </w:p>
    <w:p>
      <w:pPr>
        <w:pStyle w:val="Style15"/>
        <w:keepNext w:val="0"/>
        <w:keepLines w:val="0"/>
        <w:widowControl w:val="0"/>
        <w:shd w:val="clear" w:color="auto" w:fill="auto"/>
        <w:bidi w:val="0"/>
        <w:spacing w:before="0" w:after="0" w:line="218" w:lineRule="auto"/>
        <w:ind w:left="0" w:right="0" w:firstLine="0"/>
        <w:jc w:val="left"/>
      </w:pPr>
      <w:r>
        <w:rPr>
          <w:color w:val="000000"/>
          <w:spacing w:val="0"/>
          <w:w w:val="100"/>
          <w:position w:val="0"/>
          <w:sz w:val="24"/>
          <w:szCs w:val="24"/>
          <w:shd w:val="clear" w:color="auto" w:fill="auto"/>
          <w:lang w:val="ru-RU" w:eastAsia="ru-RU" w:bidi="ru-RU"/>
        </w:rPr>
        <w:t>ИП Кравченко А.В.</w:t>
      </w:r>
    </w:p>
    <w:p>
      <w:pPr>
        <w:pStyle w:val="Style8"/>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u-RU" w:eastAsia="ru-RU" w:bidi="ru-RU"/>
        </w:rPr>
        <w:t>ул. Тульская, д. 13Б, кв. 20, г. Калуга, 248600</w:t>
      </w:r>
    </w:p>
    <w:p>
      <w:pPr>
        <w:pStyle w:val="Style8"/>
        <w:keepNext w:val="0"/>
        <w:keepLines w:val="0"/>
        <w:widowControl w:val="0"/>
        <w:shd w:val="clear" w:color="auto" w:fill="auto"/>
        <w:bidi w:val="0"/>
        <w:spacing w:before="0" w:line="259" w:lineRule="auto"/>
        <w:ind w:left="0" w:right="0" w:firstLine="0"/>
        <w:jc w:val="left"/>
      </w:pPr>
      <w:r>
        <w:rPr>
          <w:color w:val="000000"/>
          <w:spacing w:val="0"/>
          <w:w w:val="100"/>
          <w:position w:val="0"/>
          <w:shd w:val="clear" w:color="auto" w:fill="auto"/>
          <w:lang w:val="ru-RU" w:eastAsia="ru-RU" w:bidi="ru-RU"/>
        </w:rPr>
        <w:t>1пГо(@.§о8Гапп.гн</w:t>
      </w:r>
    </w:p>
    <w:p>
      <w:pPr>
        <w:pStyle w:val="Style17"/>
        <w:keepNext/>
        <w:keepLines/>
        <w:widowControl w:val="0"/>
        <w:shd w:val="clear" w:color="auto" w:fill="auto"/>
        <w:bidi w:val="0"/>
        <w:spacing w:before="0" w:after="0"/>
        <w:ind w:left="0" w:right="0" w:firstLine="0"/>
        <w:jc w:val="left"/>
      </w:pPr>
      <w:bookmarkStart w:id="8" w:name="bookmark8"/>
      <w:r>
        <w:rPr>
          <w:color w:val="000000"/>
          <w:spacing w:val="0"/>
          <w:w w:val="100"/>
          <w:position w:val="0"/>
          <w:sz w:val="24"/>
          <w:szCs w:val="24"/>
          <w:shd w:val="clear" w:color="auto" w:fill="auto"/>
          <w:lang w:val="ru-RU" w:eastAsia="ru-RU" w:bidi="ru-RU"/>
        </w:rPr>
        <w:t>Электронной площадке:</w:t>
      </w:r>
      <w:bookmarkEnd w:id="8"/>
    </w:p>
    <w:p>
      <w:pPr>
        <w:pStyle w:val="Style8"/>
        <w:keepNext w:val="0"/>
        <w:keepLines w:val="0"/>
        <w:widowControl w:val="0"/>
        <w:shd w:val="clear" w:color="auto" w:fill="auto"/>
        <w:bidi w:val="0"/>
        <w:spacing w:before="0" w:after="0" w:line="254"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84" w:right="680" w:bottom="1198" w:left="1140" w:header="0" w:footer="3" w:gutter="0"/>
          <w:pgNumType w:start="1"/>
          <w:cols w:num="2" w:space="720" w:equalWidth="0">
            <w:col w:w="4258" w:space="1003"/>
            <w:col w:w="4819"/>
          </w:cols>
          <w:noEndnote/>
          <w:titlePg/>
          <w:rtlGutter w:val="0"/>
          <w:docGrid w:linePitch="360"/>
        </w:sectPr>
      </w:pPr>
      <w:r>
        <w:rPr>
          <w:color w:val="000000"/>
          <w:spacing w:val="0"/>
          <w:w w:val="100"/>
          <w:position w:val="0"/>
          <w:shd w:val="clear" w:color="auto" w:fill="auto"/>
          <w:lang w:val="ru-RU" w:eastAsia="ru-RU" w:bidi="ru-RU"/>
        </w:rPr>
        <w:t xml:space="preserve">АО «ЕЭТП» ко </w:t>
      </w:r>
      <w:r>
        <w:rPr>
          <w:i/>
          <w:iCs/>
          <w:color w:val="000000"/>
          <w:spacing w:val="0"/>
          <w:w w:val="100"/>
          <w:position w:val="0"/>
          <w:shd w:val="clear" w:color="auto" w:fill="auto"/>
          <w:lang w:val="ru-RU" w:eastAsia="ru-RU" w:bidi="ru-RU"/>
        </w:rPr>
        <w:t>а</w:t>
      </w:r>
      <w:r>
        <w:rPr>
          <w:color w:val="000000"/>
          <w:spacing w:val="0"/>
          <w:w w:val="100"/>
          <w:position w:val="0"/>
          <w:shd w:val="clear" w:color="auto" w:fill="auto"/>
          <w:lang w:val="ru-RU" w:eastAsia="ru-RU" w:bidi="ru-RU"/>
        </w:rPr>
        <w:t xml:space="preserve"> го8е11ог§.гн</w:t>
      </w:r>
    </w:p>
    <w:p>
      <w:pPr>
        <w:widowControl w:val="0"/>
        <w:spacing w:line="240" w:lineRule="exact"/>
        <w:rPr>
          <w:sz w:val="19"/>
          <w:szCs w:val="19"/>
        </w:rPr>
      </w:pPr>
    </w:p>
    <w:p>
      <w:pPr>
        <w:widowControl w:val="0"/>
        <w:spacing w:line="240" w:lineRule="exact"/>
        <w:rPr>
          <w:sz w:val="19"/>
          <w:szCs w:val="19"/>
        </w:rPr>
      </w:pPr>
    </w:p>
    <w:p>
      <w:pPr>
        <w:widowControl w:val="0"/>
        <w:spacing w:before="34" w:after="3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6" w:right="0" w:bottom="1046"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280" w:line="240" w:lineRule="auto"/>
        <w:ind w:left="0" w:right="0" w:firstLine="0"/>
        <w:jc w:val="center"/>
      </w:pPr>
      <w:r>
        <w:rPr>
          <w:color w:val="000000"/>
          <w:spacing w:val="0"/>
          <w:w w:val="100"/>
          <w:position w:val="0"/>
          <w:sz w:val="24"/>
          <w:szCs w:val="24"/>
          <w:shd w:val="clear" w:color="auto" w:fill="auto"/>
          <w:lang w:val="ru-RU" w:eastAsia="ru-RU" w:bidi="ru-RU"/>
        </w:rPr>
        <w:t>по делу № 067/06/33-713/2023 о нарушении</w:t>
        <w:br/>
        <w:t>законодательства Российской Федерации о контрактной системе</w:t>
      </w:r>
    </w:p>
    <w:p>
      <w:pPr>
        <w:pStyle w:val="Style15"/>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6292215</wp:posOffset>
                </wp:positionH>
                <wp:positionV relativeFrom="paragraph">
                  <wp:posOffset>12700</wp:posOffset>
                </wp:positionV>
                <wp:extent cx="826135" cy="189230"/>
                <wp:wrapSquare wrapText="left"/>
                <wp:docPr id="12" name="Shape 12"/>
                <a:graphic xmlns:a="http://schemas.openxmlformats.org/drawingml/2006/main">
                  <a:graphicData uri="http://schemas.microsoft.com/office/word/2010/wordprocessingShape">
                    <wps:wsp>
                      <wps:cNvSpPr txBox="1"/>
                      <wps:spPr>
                        <a:xfrm>
                          <a:ext cx="826135" cy="1892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Смоленск</w:t>
                            </w:r>
                          </w:p>
                        </w:txbxContent>
                      </wps:txbx>
                      <wps:bodyPr wrap="none" lIns="0" tIns="0" rIns="0" bIns="0">
                        <a:noAutoFit/>
                      </wps:bodyPr>
                    </wps:wsp>
                  </a:graphicData>
                </a:graphic>
              </wp:anchor>
            </w:drawing>
          </mc:Choice>
          <mc:Fallback>
            <w:pict>
              <v:shape id="_x0000_s1038" type="#_x0000_t202" style="position:absolute;margin-left:495.44999999999999pt;margin-top:1.pt;width:65.049999999999997pt;height:14.9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Смоленск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14 декабря 2023 года</w:t>
      </w:r>
    </w:p>
    <w:p>
      <w:pPr>
        <w:pStyle w:val="Style15"/>
        <w:keepNext w:val="0"/>
        <w:keepLines w:val="0"/>
        <w:widowControl w:val="0"/>
        <w:shd w:val="clear" w:color="auto" w:fill="auto"/>
        <w:bidi w:val="0"/>
        <w:spacing w:before="0" w:after="580" w:line="240" w:lineRule="auto"/>
        <w:ind w:left="0" w:right="0" w:firstLine="720"/>
        <w:jc w:val="both"/>
      </w:pPr>
      <w:r>
        <mc:AlternateContent>
          <mc:Choice Requires="wps">
            <w:drawing>
              <wp:anchor distT="0" distB="0" distL="114300" distR="114300" simplePos="0" relativeHeight="125829380" behindDoc="0" locked="0" layoutInCell="1" allowOverlap="1">
                <wp:simplePos x="0" y="0"/>
                <wp:positionH relativeFrom="page">
                  <wp:posOffset>683895</wp:posOffset>
                </wp:positionH>
                <wp:positionV relativeFrom="paragraph">
                  <wp:posOffset>558800</wp:posOffset>
                </wp:positionV>
                <wp:extent cx="1667510" cy="737870"/>
                <wp:wrapSquare wrapText="bothSides"/>
                <wp:docPr id="14" name="Shape 14"/>
                <a:graphic xmlns:a="http://schemas.openxmlformats.org/drawingml/2006/main">
                  <a:graphicData uri="http://schemas.microsoft.com/office/word/2010/wordprocessingShape">
                    <wps:wsp>
                      <wps:cNvSpPr txBox="1"/>
                      <wps:spPr>
                        <a:xfrm>
                          <a:ext cx="1667510" cy="737870"/>
                        </a:xfrm>
                        <a:prstGeom prst="rect"/>
                        <a:noFill/>
                      </wps:spPr>
                      <wps:txbx>
                        <w:txbxContent>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ru-RU" w:eastAsia="ru-RU" w:bidi="ru-RU"/>
                              </w:rPr>
                              <w:t>Заместитель председателя Комиссии: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40" type="#_x0000_t202" style="position:absolute;margin-left:53.850000000000001pt;margin-top:44.pt;width:131.30000000000001pt;height:58.100000000000001pt;z-index:-125829373;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ru-RU" w:eastAsia="ru-RU" w:bidi="ru-RU"/>
                        </w:rPr>
                        <w:t>Заместитель председателя Комиссии: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Комиссия Смоленского УФАС России по контролю в сфере закупок (далее - Комиссия) в следующем составе:</w:t>
      </w:r>
    </w:p>
    <w:p>
      <w:pPr>
        <w:pStyle w:val="Style15"/>
        <w:keepNext w:val="0"/>
        <w:keepLines w:val="0"/>
        <w:widowControl w:val="0"/>
        <w:shd w:val="clear" w:color="auto" w:fill="auto"/>
        <w:bidi w:val="0"/>
        <w:spacing w:before="0" w:after="0" w:line="240" w:lineRule="auto"/>
        <w:ind w:left="3140" w:right="0" w:firstLine="0"/>
        <w:jc w:val="right"/>
      </w:pPr>
      <w:r>
        <w:rPr>
          <w:color w:val="000000"/>
          <w:spacing w:val="0"/>
          <w:w w:val="100"/>
          <w:position w:val="0"/>
          <w:sz w:val="24"/>
          <w:szCs w:val="24"/>
          <w:shd w:val="clear" w:color="auto" w:fill="auto"/>
          <w:lang w:val="ru-RU" w:eastAsia="ru-RU" w:bidi="ru-RU"/>
        </w:rPr>
        <w:t>заместитель руководителя Смоленского УФАС России;</w:t>
      </w:r>
    </w:p>
    <w:p>
      <w:pPr>
        <w:pStyle w:val="Style15"/>
        <w:keepNext w:val="0"/>
        <w:keepLines w:val="0"/>
        <w:widowControl w:val="0"/>
        <w:shd w:val="clear" w:color="auto" w:fill="auto"/>
        <w:bidi w:val="0"/>
        <w:spacing w:before="0" w:after="0" w:line="240" w:lineRule="auto"/>
        <w:ind w:left="3180" w:right="0" w:firstLine="0"/>
        <w:jc w:val="both"/>
      </w:pPr>
      <w:r>
        <w:rPr>
          <w:color w:val="000000"/>
          <w:spacing w:val="0"/>
          <w:w w:val="100"/>
          <w:position w:val="0"/>
          <w:sz w:val="24"/>
          <w:szCs w:val="24"/>
          <w:shd w:val="clear" w:color="auto" w:fill="auto"/>
          <w:lang w:val="ru-RU" w:eastAsia="ru-RU" w:bidi="ru-RU"/>
        </w:rPr>
        <w:t>- начальник отдела контроля закупок и антимонопольного контроля органов власти Смоленского УФАС России;</w:t>
      </w:r>
    </w:p>
    <w:p>
      <w:pPr>
        <w:pStyle w:val="Style15"/>
        <w:keepNext w:val="0"/>
        <w:keepLines w:val="0"/>
        <w:widowControl w:val="0"/>
        <w:shd w:val="clear" w:color="auto" w:fill="auto"/>
        <w:bidi w:val="0"/>
        <w:spacing w:before="0" w:after="280" w:line="240" w:lineRule="auto"/>
        <w:ind w:left="5980" w:right="0" w:firstLine="0"/>
        <w:jc w:val="both"/>
      </w:pPr>
      <w:r>
        <w:rPr>
          <w:color w:val="000000"/>
          <w:spacing w:val="0"/>
          <w:w w:val="100"/>
          <w:position w:val="0"/>
          <w:sz w:val="24"/>
          <w:szCs w:val="24"/>
          <w:shd w:val="clear" w:color="auto" w:fill="auto"/>
          <w:lang w:val="ru-RU" w:eastAsia="ru-RU" w:bidi="ru-RU"/>
        </w:rPr>
        <w:t>- специалист-эксперт отдела контроля закупок и антимонопольного контроля органов власти Смоленского УФАС России,</w:t>
      </w:r>
    </w:p>
    <w:p>
      <w:pPr>
        <w:pStyle w:val="Style15"/>
        <w:keepNext w:val="0"/>
        <w:keepLines w:val="0"/>
        <w:widowControl w:val="0"/>
        <w:shd w:val="clear" w:color="auto" w:fill="auto"/>
        <w:bidi w:val="0"/>
        <w:spacing w:before="0" w:after="0" w:line="240" w:lineRule="auto"/>
        <w:ind w:left="720" w:right="0" w:firstLine="0"/>
        <w:jc w:val="both"/>
      </w:pPr>
      <w:r>
        <w:rPr>
          <w:color w:val="000000"/>
          <w:spacing w:val="0"/>
          <w:w w:val="100"/>
          <w:position w:val="0"/>
          <w:sz w:val="24"/>
          <w:szCs w:val="24"/>
          <w:shd w:val="clear" w:color="auto" w:fill="auto"/>
          <w:lang w:val="ru-RU" w:eastAsia="ru-RU" w:bidi="ru-RU"/>
        </w:rPr>
        <w:t>при участии в дистанционном режиме рассмотрения жалобы представителей: - заказчика: Стальченкова Е.А. (доверенность № 174 от 13.12.2023);</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 заявителя: Кравченко А.В. (паспорт);</w:t>
      </w:r>
    </w:p>
    <w:p>
      <w:pPr>
        <w:pStyle w:val="Style22"/>
        <w:keepNext/>
        <w:keepLines/>
        <w:widowControl w:val="0"/>
        <w:shd w:val="clear" w:color="auto" w:fill="auto"/>
        <w:bidi w:val="0"/>
        <w:spacing w:before="0" w:line="240" w:lineRule="auto"/>
        <w:ind w:left="0" w:right="0" w:firstLine="0"/>
        <w:jc w:val="both"/>
      </w:pPr>
      <w:bookmarkStart w:id="10" w:name="bookmark10"/>
      <w:r>
        <w:rPr>
          <w:color w:val="000000"/>
          <w:spacing w:val="0"/>
          <w:w w:val="100"/>
          <w:position w:val="0"/>
          <w:shd w:val="clear" w:color="auto" w:fill="auto"/>
          <w:lang w:val="ru-RU" w:eastAsia="ru-RU" w:bidi="ru-RU"/>
        </w:rPr>
        <w:t>111111111111111111111111</w:t>
      </w:r>
      <w:bookmarkEnd w:id="10"/>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отсутствие представителя уполномоченного органа, уведомленного надлежащим образом о дате, времени и месте рассмотрения жалобы,</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Смоленского УФАС России от 29.03.2023 № 19/23, в дистанционном режиме жалобу ИП Кравченко А.В. (далее - Заявитель) и проведя внеплановую проверку,</w:t>
      </w:r>
    </w:p>
    <w:p>
      <w:pPr>
        <w:pStyle w:val="Style15"/>
        <w:keepNext w:val="0"/>
        <w:keepLines w:val="0"/>
        <w:widowControl w:val="0"/>
        <w:shd w:val="clear" w:color="auto" w:fill="auto"/>
        <w:bidi w:val="0"/>
        <w:spacing w:before="0" w:after="28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Смоленское УФАС России 10.12.2023 из ФАС России поступила жалоба ИП Кравченко А.В., согласно которой Заказчиком при проведении запроса котировок в электронной форме: «Аппарат УЗИ» (извещение № 0163200000323007802) были нарушены требования Закона, а именно:</w:t>
      </w:r>
    </w:p>
    <w:p>
      <w:pPr>
        <w:pStyle w:val="Style15"/>
        <w:keepNext w:val="0"/>
        <w:keepLines w:val="0"/>
        <w:widowControl w:val="0"/>
        <w:numPr>
          <w:ilvl w:val="0"/>
          <w:numId w:val="1"/>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совокупности технических характеристик закупаемого товара не соответствует ни одна из моделей ультразвукового диагностического оборудования, включенная в единый реестр радиоэлектронной продукции. Описанию объекта закупки соответствует продукция иностранного производства, стоимость которой выше, а качество хуже, что не позволило применить постановление Правительства № 878 от 10.07.2019;</w:t>
      </w:r>
    </w:p>
    <w:p>
      <w:pPr>
        <w:pStyle w:val="Style15"/>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совокупности характеристик соответствует товар единственного производителя </w:t>
      </w:r>
      <w:r>
        <w:rPr>
          <w:i/>
          <w:iCs/>
          <w:color w:val="000000"/>
          <w:spacing w:val="0"/>
          <w:w w:val="100"/>
          <w:position w:val="0"/>
          <w:sz w:val="24"/>
          <w:szCs w:val="24"/>
          <w:shd w:val="clear" w:color="auto" w:fill="auto"/>
          <w:lang w:val="ru-RU" w:eastAsia="ru-RU" w:bidi="ru-RU"/>
        </w:rPr>
        <w:t>{при этом в жалобе не конкретизировано наименование такого производителя},</w:t>
      </w:r>
    </w:p>
    <w:p>
      <w:pPr>
        <w:pStyle w:val="Style15"/>
        <w:keepNext w:val="0"/>
        <w:keepLines w:val="0"/>
        <w:widowControl w:val="0"/>
        <w:numPr>
          <w:ilvl w:val="0"/>
          <w:numId w:val="1"/>
        </w:numPr>
        <w:shd w:val="clear" w:color="auto" w:fill="auto"/>
        <w:tabs>
          <w:tab w:pos="103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не были соблюдены положения постановления Правительства РФ № 2014 от 03.12.2020;</w:t>
      </w:r>
    </w:p>
    <w:p>
      <w:pPr>
        <w:pStyle w:val="Style15"/>
        <w:keepNext w:val="0"/>
        <w:keepLines w:val="0"/>
        <w:widowControl w:val="0"/>
        <w:numPr>
          <w:ilvl w:val="0"/>
          <w:numId w:val="1"/>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Извещении не были установлены ограничения в соответствии с постановлением Правительства Российской Федерации № 1236 от 16.11.2015;</w:t>
      </w:r>
    </w:p>
    <w:p>
      <w:pPr>
        <w:pStyle w:val="Style15"/>
        <w:keepNext w:val="0"/>
        <w:keepLines w:val="0"/>
        <w:widowControl w:val="0"/>
        <w:numPr>
          <w:ilvl w:val="0"/>
          <w:numId w:val="1"/>
        </w:numPr>
        <w:shd w:val="clear" w:color="auto" w:fill="auto"/>
        <w:tabs>
          <w:tab w:pos="103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нарушение требований Закона при описании объекта закупки неверно определен код КТРУ;</w:t>
      </w:r>
    </w:p>
    <w:p>
      <w:pPr>
        <w:pStyle w:val="Style15"/>
        <w:keepNext w:val="0"/>
        <w:keepLines w:val="0"/>
        <w:widowControl w:val="0"/>
        <w:numPr>
          <w:ilvl w:val="0"/>
          <w:numId w:val="1"/>
        </w:numPr>
        <w:shd w:val="clear" w:color="auto" w:fill="auto"/>
        <w:tabs>
          <w:tab w:pos="175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Техническом задании отсутствует описания характеристик по ГОСТ;</w:t>
      </w:r>
    </w:p>
    <w:p>
      <w:pPr>
        <w:pStyle w:val="Style15"/>
        <w:keepNext w:val="0"/>
        <w:keepLines w:val="0"/>
        <w:widowControl w:val="0"/>
        <w:numPr>
          <w:ilvl w:val="0"/>
          <w:numId w:val="1"/>
        </w:numPr>
        <w:shd w:val="clear" w:color="auto" w:fill="auto"/>
        <w:tabs>
          <w:tab w:pos="103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проекте контракта, отсутствуют сведения о сроках действия и окончания действия контракта;</w:t>
      </w:r>
    </w:p>
    <w:p>
      <w:pPr>
        <w:pStyle w:val="Style15"/>
        <w:keepNext w:val="0"/>
        <w:keepLines w:val="0"/>
        <w:widowControl w:val="0"/>
        <w:numPr>
          <w:ilvl w:val="0"/>
          <w:numId w:val="1"/>
        </w:numPr>
        <w:shd w:val="clear" w:color="auto" w:fill="auto"/>
        <w:tabs>
          <w:tab w:pos="103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допущены нарушения при формировании начальной (максимальной) цены контракта.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Государственным заказчиком по данному запросу котировок в электронной форме является Областное государственное учреждение здравоохранения «Клиническая больница скорой медицинской помощи» (далее - Заказчик), уполномоченным органом - Главное управление Смоленской области по регулированию контрактной системы.</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представил письменные возражения по существу жалобы, с доводами жалобы не согласился.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момент рассмотрения жалобы контракт Заказчиком не заключен.</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 рассмотрения жалобы по существу от Заявителя поступили ходатайства:</w:t>
      </w:r>
    </w:p>
    <w:p>
      <w:pPr>
        <w:pStyle w:val="Style15"/>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636" w:right="535" w:bottom="1046" w:left="1093"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1) о привлечении к административной ответственности Заказчика за несвоевременное представление пояснений по доводам жалобы.</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Комиссией ходатайство было отклонено, ввиду того что Законом не регламентирован срок предоставления пояснений и документов.</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2) о необходимости рассмотрения озвученных в рамках заседания Комиссии дополнительных доводов и иные требования, изложенные в ходатайстве Заявителя от 12.12.2023.</w:t>
      </w:r>
    </w:p>
    <w:p>
      <w:pPr>
        <w:pStyle w:val="Style15"/>
        <w:keepNext w:val="0"/>
        <w:keepLines w:val="0"/>
        <w:widowControl w:val="0"/>
        <w:shd w:val="clear" w:color="auto" w:fill="auto"/>
        <w:bidi w:val="0"/>
        <w:spacing w:before="0" w:after="280" w:line="240" w:lineRule="auto"/>
        <w:ind w:left="0" w:right="0" w:firstLine="700"/>
        <w:jc w:val="both"/>
      </w:pPr>
      <w:r>
        <w:rPr>
          <w:color w:val="000000"/>
          <w:spacing w:val="0"/>
          <w:w w:val="100"/>
          <w:position w:val="0"/>
          <w:sz w:val="24"/>
          <w:szCs w:val="24"/>
          <w:shd w:val="clear" w:color="auto" w:fill="auto"/>
          <w:lang w:val="ru-RU" w:eastAsia="ru-RU" w:bidi="ru-RU"/>
        </w:rPr>
        <w:t>Ходатайство было отклонено, поскольку Комиссия рассматривает доводы, указанные в жалобе, а на письменное ходатайство Управлением 13.12.2023 Заявителю был дан ответ (исх. № ВФ/3703/23) об отказе в удовлетворении заявленных требований.</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результате изучения представленных документов, рассмотрения доводов жалобы, пояснений сторон, Комиссия установила следующее.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05.12.2023 уполномоченным органом на официальном сайте единой информационной системы в сфере закупок</w:t>
      </w:r>
      <w:r>
        <w:fldChar w:fldCharType="begin"/>
      </w:r>
      <w:r>
        <w:rPr/>
        <w:instrText> HYPERLINK "http://www.zakupki.gov.ru" </w:instrText>
      </w:r>
      <w:r>
        <w:fldChar w:fldCharType="separate"/>
      </w:r>
      <w:r>
        <w:rPr>
          <w:color w:val="000000"/>
          <w:spacing w:val="0"/>
          <w:w w:val="100"/>
          <w:position w:val="0"/>
          <w:sz w:val="24"/>
          <w:szCs w:val="24"/>
          <w:shd w:val="clear" w:color="auto" w:fill="auto"/>
          <w:lang w:val="ru-RU" w:eastAsia="ru-RU" w:bidi="ru-RU"/>
        </w:rPr>
        <w:t xml:space="preserve"> шшшхакнркгдоу.ш</w:t>
      </w:r>
      <w:r>
        <w:fldChar w:fldCharType="end"/>
      </w:r>
      <w:r>
        <w:rPr>
          <w:color w:val="000000"/>
          <w:spacing w:val="0"/>
          <w:w w:val="100"/>
          <w:position w:val="0"/>
          <w:sz w:val="24"/>
          <w:szCs w:val="24"/>
          <w:shd w:val="clear" w:color="auto" w:fill="auto"/>
          <w:lang w:val="ru-RU" w:eastAsia="ru-RU" w:bidi="ru-RU"/>
        </w:rPr>
        <w:t xml:space="preserve"> размещено Извещение № 0163200000323007802 о проведении запроса котировок в электронной форме.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Начальная (максимальная) цена контракта (далее - НМЦК) - 8 120 946,67 руб.</w:t>
      </w:r>
    </w:p>
    <w:p>
      <w:pPr>
        <w:pStyle w:val="Style15"/>
        <w:keepNext w:val="0"/>
        <w:keepLines w:val="0"/>
        <w:widowControl w:val="0"/>
        <w:shd w:val="clear" w:color="auto" w:fill="auto"/>
        <w:bidi w:val="0"/>
        <w:spacing w:before="0" w:after="28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протокол подведения итогов определения поставщика (подрядчика, исполнителя) от 13.12.2023 №ИЗК1 на участие в закупке заявку подал единственный участник, который получил право заключить государственный контракт.</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пунктом 3 части 1 статьи 3 Закона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Законом порядке заказчиком и направленных на обеспечение государственных или муниципальных нужд.</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частью 5 статьи 23 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части 6 статьи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Правила использования каталога товаров, работ, услуг для обеспечения государственных и муниципальных нужд (далее - Правила использования), утверждены постановлением Правительства РФ от 08.02.2017 № 145.</w:t>
      </w:r>
    </w:p>
    <w:p>
      <w:pPr>
        <w:pStyle w:val="Style15"/>
        <w:keepNext w:val="0"/>
        <w:keepLines w:val="0"/>
        <w:widowControl w:val="0"/>
        <w:shd w:val="clear" w:color="auto" w:fill="auto"/>
        <w:bidi w:val="0"/>
        <w:spacing w:before="0" w:after="0" w:line="329" w:lineRule="auto"/>
        <w:ind w:left="0" w:right="0" w:firstLine="700"/>
        <w:jc w:val="both"/>
      </w:pPr>
      <w:r>
        <w:rPr>
          <w:color w:val="000000"/>
          <w:spacing w:val="0"/>
          <w:w w:val="100"/>
          <w:position w:val="0"/>
          <w:sz w:val="24"/>
          <w:szCs w:val="24"/>
          <w:shd w:val="clear" w:color="auto" w:fill="auto"/>
          <w:lang w:val="ru-RU" w:eastAsia="ru-RU" w:bidi="ru-RU"/>
        </w:rPr>
        <w:t>Согласно пункту 2 Правил формирования под каталогом товаров, работ, услуг для обеспечения государственных и муниципальных нужд (далее - каталог) понимается 2023-4068</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Правилами.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12 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19 Правил формирования в позиции каталога в соответствии со статьей 33 Закона может включаться дополнительная информация о конкретных товарах, работах, услугах, в том числе информация о характеристиках таких товаров, их производителях, торговых наименованиях, наименованиях мест происхождения товаров, ценах за единицу количества товара, объема работы, услуги и (или) ценах за единицу измерения количества товара, объема работы, услуги, условиях поставки товаров, выполнения работ, оказания услуг. Указанная информация формируется в том числе производителями и (или) поставщиками (подрядчиками, исполнителями). Основания и порядок формирования и включения такой информации в каталог определяются уполномоченным органом по согласованию с Федеральной антимонопольной службой.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4 Правил использования Заказчики обязаны применять информацию, включенную в позицию каталога в соответствии с подпунктами «б» - «г» и «е» - «з» пункта 10 Правил формирования,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3"/>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5"/>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3"/>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При проведении предусмотренных Законом электронных процедур, закрытых электронных процедур характеристики объекта закупки, предусмотренные пунктом 1 части 1 статьи 33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соответственно.</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2 статьи 42 Закона извещение об осуществлении закупки, если иное не предусмотрено Законом, должно содержать описание объекта закупки в соответствии со статьей 33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пунктам 1, 2 части 1 статьи 33 Закона заказчик в случаях, предусмотренных Законом, при описании объекта закупки должен руководствоваться следующими правилами:</w:t>
      </w:r>
    </w:p>
    <w:p>
      <w:pPr>
        <w:pStyle w:val="Style15"/>
        <w:keepNext w:val="0"/>
        <w:keepLines w:val="0"/>
        <w:widowControl w:val="0"/>
        <w:numPr>
          <w:ilvl w:val="0"/>
          <w:numId w:val="5"/>
        </w:numPr>
        <w:shd w:val="clear" w:color="auto" w:fill="auto"/>
        <w:tabs>
          <w:tab w:pos="1010" w:val="left"/>
        </w:tabs>
        <w:bidi w:val="0"/>
        <w:spacing w:before="0" w:after="0" w:line="276" w:lineRule="auto"/>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2023-4068</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(пункт 1);</w:t>
      </w:r>
    </w:p>
    <w:p>
      <w:pPr>
        <w:pStyle w:val="Style15"/>
        <w:keepNext w:val="0"/>
        <w:keepLines w:val="0"/>
        <w:widowControl w:val="0"/>
        <w:numPr>
          <w:ilvl w:val="0"/>
          <w:numId w:val="5"/>
        </w:numPr>
        <w:shd w:val="clear" w:color="auto" w:fill="auto"/>
        <w:tabs>
          <w:tab w:pos="103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(пункт 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5"/>
        <w:keepNext w:val="0"/>
        <w:keepLines w:val="0"/>
        <w:widowControl w:val="0"/>
        <w:shd w:val="clear" w:color="auto" w:fill="auto"/>
        <w:bidi w:val="0"/>
        <w:spacing w:before="0" w:after="0" w:line="290" w:lineRule="auto"/>
        <w:ind w:left="0" w:right="0" w:firstLine="72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700" w:right="533" w:bottom="735" w:left="1101" w:header="0" w:footer="307"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части 2 статьи 14 Закона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части 1 данной статьи, и условия применения национального режима в единой 2023-4068</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информационной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данной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РФ от 03.12.2020 № 2014 «О минимальной обязательной доле закупок российских товаров и ее достижении заказчиком» утверждены требования к содержанию и форме отчета об объеме закупок российских товаров, в том числе товаров, поставляемых при выполнении закупаемых работ, оказании закупаемых услуг, осуществленных в целях достижения заказчиком минимальной обязательной доли закупок, о требованиях к содержанию обоснования невозможности достижения заказчиком минимальной обязательной доли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о порядке подготовки и размещения в единой информационной системе в сфере закупок таких отчета и обоснования», положения о порядке, критериях и последствии проведения оценки выполнения заказчиком обязанности достижения минимальной обязательной доли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РФ от 10.07.2019 № 878 утверждены меры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и Правила формирования и ведения единого реестра российской радиоэлектронной продукции (далее - Постановление № 878).</w:t>
      </w:r>
    </w:p>
    <w:p>
      <w:pPr>
        <w:pStyle w:val="Style15"/>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Данным Постановлением № 878 также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Реестр).</w:t>
      </w:r>
    </w:p>
    <w:p>
      <w:pPr>
        <w:pStyle w:val="Style15"/>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 xml:space="preserve">Постановлением Правительства РФ от 16.11.2015 №1236 устанавливается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w:t>
      </w:r>
      <w:r>
        <w:rPr>
          <w:color w:val="000000"/>
          <w:spacing w:val="0"/>
          <w:w w:val="100"/>
          <w:position w:val="0"/>
          <w:sz w:val="24"/>
          <w:szCs w:val="24"/>
          <w:shd w:val="clear" w:color="auto" w:fill="auto"/>
          <w:lang w:val="ru-RU" w:eastAsia="ru-RU" w:bidi="ru-RU"/>
        </w:rPr>
        <w:t>Постановление №1236).</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2 Постановления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случаев, поименованных в указанной норме.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2(1) Постановления №1236 для целей применения пункта 2 данного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15"/>
        <w:keepNext w:val="0"/>
        <w:keepLines w:val="0"/>
        <w:widowControl w:val="0"/>
        <w:numPr>
          <w:ilvl w:val="0"/>
          <w:numId w:val="7"/>
        </w:numPr>
        <w:shd w:val="clear" w:color="auto" w:fill="auto"/>
        <w:tabs>
          <w:tab w:pos="9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w:t>
        <w:softHyphen/>
        <w:t>аппаратной инфраструктуры, обеспечивающей сбор, обработку и хранение данных (услуги облачных вычислений) (подпункт «а);</w:t>
      </w:r>
    </w:p>
    <w:p>
      <w:pPr>
        <w:pStyle w:val="Style15"/>
        <w:keepNext w:val="0"/>
        <w:keepLines w:val="0"/>
        <w:widowControl w:val="0"/>
        <w:numPr>
          <w:ilvl w:val="0"/>
          <w:numId w:val="7"/>
        </w:numPr>
        <w:shd w:val="clear" w:color="auto" w:fill="auto"/>
        <w:tabs>
          <w:tab w:pos="91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 (подпункт «б»);</w:t>
      </w:r>
    </w:p>
    <w:p>
      <w:pPr>
        <w:pStyle w:val="Style15"/>
        <w:keepNext w:val="0"/>
        <w:keepLines w:val="0"/>
        <w:widowControl w:val="0"/>
        <w:numPr>
          <w:ilvl w:val="0"/>
          <w:numId w:val="7"/>
        </w:numPr>
        <w:shd w:val="clear" w:color="auto" w:fill="auto"/>
        <w:tabs>
          <w:tab w:pos="91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 (подпункт «в»);</w:t>
      </w:r>
    </w:p>
    <w:p>
      <w:pPr>
        <w:pStyle w:val="Style15"/>
        <w:keepNext w:val="0"/>
        <w:keepLines w:val="0"/>
        <w:widowControl w:val="0"/>
        <w:numPr>
          <w:ilvl w:val="0"/>
          <w:numId w:val="7"/>
        </w:numPr>
        <w:shd w:val="clear" w:color="auto" w:fill="auto"/>
        <w:tabs>
          <w:tab w:pos="913" w:val="left"/>
        </w:tabs>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 (подпункт «г»).</w:t>
      </w:r>
    </w:p>
    <w:p>
      <w:pPr>
        <w:pStyle w:val="Style1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Объектом рассматриваемой закупки является поставка аппарата УЗИ (код позиции КТРУ 26.60.12.132-00000011 «Система ультразвуковой визуализации сердечно-сосудистой системы»). Описание объекта закупки содержится в приложении № 1 к Извещению (далее - Техническое задание).</w:t>
      </w:r>
    </w:p>
    <w:p>
      <w:pPr>
        <w:pStyle w:val="Style15"/>
        <w:keepNext w:val="0"/>
        <w:keepLines w:val="0"/>
        <w:widowControl w:val="0"/>
        <w:shd w:val="clear" w:color="auto" w:fill="auto"/>
        <w:bidi w:val="0"/>
        <w:spacing w:before="0" w:after="0" w:line="252" w:lineRule="auto"/>
        <w:ind w:left="0" w:right="0" w:firstLine="720"/>
        <w:jc w:val="both"/>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700" w:right="531" w:bottom="1292" w:left="1103"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сведениям, размещенным в каталоге товаров, работ, услуг для обеспечения государственных и муниципальных нужд на сайте единой информационной системы в сфере закупок код КТРУ 26.60.12.132-00000011 «Система ультразвуковой визуализации сердечно</w:t>
        <w:softHyphen/>
        <w:t>сосудистой системы» мог быть применен Заказчиком при осуществлении закупки оборудования по номенклатурной классификации медицинских изделий по видам 192070 «Система ультразвуковой визуализации сердечно-сосудистой системы» со следующим назначением: «Комплект работающих от сети (сети переменного тока) изделий, разработанных для проведения экстракорпоральных и/или интракорпоральных процедур визуализации сердца и кровеносных сосудов (эндосонографии или эндоскопии). Включает систему программного</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обеспечения, которая поддерживает целый ряд статистических исследований и специфических кардиологических исследований в режиме реального времени для диагностирования анатомических дефектов сердца, определения характеристик потока крови и функциональных/анатомических проблем, ассоциированных с инфарктом миокарда. Генерирует ультразвуковые импульсы, направляет их в область воздействия, определяет ультразвуковое эхо и обрабатывает полученную информацию для вывода на дисплей статистических или динамических двух- или трехмерных (3-И) изображений».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в позиции кода КТРУ 26.60.12.132-00000011 отсутствуют функциональные характеристики товара (обязательные (рекомендуемые)), которые заказчики должны установить при формировании описания объекта закупки, что позволяет заказчикам самостоятельно определять технические характеристики, закупаемого товара, но в рамках функционального назначения оборудования, соответствующего указанному коду КТРУ</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сведениям, размещенным в единой информационной системе данный код КТРУ был включен в каталог 18.03.2019, обязателен к применению с 01.07.2019.</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также установлено, что коды КТРУ, на которые ссылается Заявитель («Система ультразвуковой визуализации универсальная, с питанием от сети» 26.60.12.132</w:t>
        <w:softHyphen/>
        <w:t>00000036 и 26.60.12.132-00000037) были включены в каталог 05.12.2022; обязательны к применению с 01.03.2023.</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2 части 1 статьи 2 Федерального закон от 21.11.2011 № 323-ФЗ «Об основах охраны здоровья граждан в Российской Федерации» охраной здоровья граждан является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Качеством медицинской помощи является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1 Закона установлено, что данный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пояснений представителя Заказчика следует, что 09.08.2023 между Министерством здравоохранения РФ и Администрацией Смоленской области было заключено Соглашение № 056-17-2023-108 о предоставлении иного межбюджетного трансфера, имеющего целевое назначение, из федерального бюджета бюджету Смоленской области, источником финансового обеспечения которого являются бюджетные ассигнования резервного фонда Правительства Российской Федерации, денежные средства были выделены, в том числе, на приобретение передвижного аппарата для ультразвукового исследования сердца и сосудов (пункт 38) в количестве 2 штук.</w:t>
      </w:r>
    </w:p>
    <w:p>
      <w:pPr>
        <w:pStyle w:val="Style15"/>
        <w:keepNext w:val="0"/>
        <w:keepLines w:val="0"/>
        <w:widowControl w:val="0"/>
        <w:shd w:val="clear" w:color="auto" w:fill="auto"/>
        <w:bidi w:val="0"/>
        <w:spacing w:before="0" w:after="0" w:line="302" w:lineRule="auto"/>
        <w:ind w:left="0" w:right="0" w:firstLine="720"/>
        <w:jc w:val="both"/>
        <w:sectPr>
          <w:headerReference w:type="default" r:id="rId21"/>
          <w:footerReference w:type="default" r:id="rId22"/>
          <w:headerReference w:type="even" r:id="rId23"/>
          <w:footerReference w:type="even" r:id="rId24"/>
          <w:footnotePr>
            <w:pos w:val="pageBottom"/>
            <w:numFmt w:val="decimal"/>
            <w:numRestart w:val="continuous"/>
          </w:footnotePr>
          <w:pgSz w:w="11900" w:h="16840"/>
          <w:pgMar w:top="1700" w:right="531" w:bottom="764" w:left="1101"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Закупка оборудования обусловлена спецификой работы и потребностями Заказчика. Закупаемое оборудование («Система ультразвуковой визуализации сердечно-сосудистой системы») предполагается использовать в учреждении с целью оказания медицинской помощи, 2023-4068</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данное оборудование позволит в кратчайшие сроки провести диагностику пациентов и незамедлительно оказать необходимую помощь.</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Комиссией Управления установлено, что код КТРУ 26.60.12.132-00000011 «Система ультразвуковой визуализации сердечно-сосудистой системы» не противоречит потребностям Заказчика и функциональным назначением закупаемого оборудования; данный код КТРУ не исключен из каталога товаров, работ, услуг для обеспечения государственных и муниципальных нужд на сайте единой информационной системы в сфере закупок, что свидетельствует о возможности его применения при осуществлении закупок; описание объекта спорной закупки составлено Заказчиком в соответствии с требованиями статьи 33 Закона.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этом, контрольный орган в сфере закупок не наделен полномочиями по определению потребности заказчика, а именно по вопросу того, какая позиция КТРУ в большей или меньшей степени будет удовлетворять его потребность, ввиду чего, Комиссии не представляется возможным установить, что используемый в данной закупочной процедуре код позиции КТРУ является менее оптимальным для удовлетворения потребности заказчика в закупаемом товаре.</w:t>
      </w:r>
    </w:p>
    <w:p>
      <w:pPr>
        <w:pStyle w:val="Style15"/>
        <w:keepNext w:val="0"/>
        <w:keepLines w:val="0"/>
        <w:widowControl w:val="0"/>
        <w:shd w:val="clear" w:color="auto" w:fill="auto"/>
        <w:bidi w:val="0"/>
        <w:spacing w:before="0" w:after="280" w:line="240" w:lineRule="auto"/>
        <w:ind w:left="0" w:right="0" w:firstLine="740"/>
        <w:jc w:val="both"/>
      </w:pPr>
      <w:r>
        <w:rPr>
          <w:color w:val="000000"/>
          <w:spacing w:val="0"/>
          <w:w w:val="100"/>
          <w:position w:val="0"/>
          <w:sz w:val="24"/>
          <w:szCs w:val="24"/>
          <w:shd w:val="clear" w:color="auto" w:fill="auto"/>
          <w:lang w:val="ru-RU" w:eastAsia="ru-RU" w:bidi="ru-RU"/>
        </w:rPr>
        <w:t>В связи с изложенным, рассматриваемый довод Заявителя признается необоснованным.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указывает, что на день подачи жалобы в едином реестре российской радиоэлектронной продукции зарегистрировано как минимум четыре ультразвуковых аппарата,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15"/>
        <w:keepNext w:val="0"/>
        <w:keepLines w:val="0"/>
        <w:widowControl w:val="0"/>
        <w:numPr>
          <w:ilvl w:val="0"/>
          <w:numId w:val="9"/>
        </w:numPr>
        <w:shd w:val="clear" w:color="auto" w:fill="auto"/>
        <w:tabs>
          <w:tab w:pos="141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АО НПО «Сканер» № РЭ-3289/21 - Система ультразвуковая диагностическая медицинская «РуСкан 65М» по ТУ 26.60.12-003-98204792-2019 с принадлежностями;</w:t>
      </w:r>
    </w:p>
    <w:p>
      <w:pPr>
        <w:pStyle w:val="Style15"/>
        <w:keepNext w:val="0"/>
        <w:keepLines w:val="0"/>
        <w:widowControl w:val="0"/>
        <w:numPr>
          <w:ilvl w:val="0"/>
          <w:numId w:val="9"/>
        </w:numPr>
        <w:shd w:val="clear" w:color="auto" w:fill="auto"/>
        <w:tabs>
          <w:tab w:pos="141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АО НПО «Сканер» № РЭ-3243/21 - Система ультразвуковая диагностическая медицинская «РуСкан 65» по ТУ 26.60.12-003-98204792-2019 с принадлежностями;</w:t>
      </w:r>
    </w:p>
    <w:p>
      <w:pPr>
        <w:pStyle w:val="Style15"/>
        <w:keepNext w:val="0"/>
        <w:keepLines w:val="0"/>
        <w:widowControl w:val="0"/>
        <w:numPr>
          <w:ilvl w:val="0"/>
          <w:numId w:val="9"/>
        </w:numPr>
        <w:shd w:val="clear" w:color="auto" w:fill="auto"/>
        <w:tabs>
          <w:tab w:pos="141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АО НПО «Сканер» № РЭ-3290/21 - Система ультразвуковая диагностическая медицинская «РуСкан 70П» по ТУ 26.60.12-004-98204792-2020 с принадлежностями;</w:t>
      </w:r>
    </w:p>
    <w:p>
      <w:pPr>
        <w:pStyle w:val="Style15"/>
        <w:keepNext w:val="0"/>
        <w:keepLines w:val="0"/>
        <w:widowControl w:val="0"/>
        <w:numPr>
          <w:ilvl w:val="0"/>
          <w:numId w:val="9"/>
        </w:numPr>
        <w:shd w:val="clear" w:color="auto" w:fill="auto"/>
        <w:tabs>
          <w:tab w:pos="141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АО «НИНК «ЭЛЕКТРОН» № РЭ-4832/22 - Система диагностическая для ультразвуковых исследований УЗИ-ЭЛЕКТРОН.</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Следовательно, Заказчиком установлены требования к товарам таким образом, что ни одна модель, содержащаяся в едином реестре российской радиоэлектронной продукции, не соответствует требованиям Технического задания, что указывает на невозможность реализации положений Постановления № 878.</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отмечает, что ранее в редакции Постановления №878 от 27.12.2021 содержались следующие положения:</w:t>
      </w:r>
    </w:p>
    <w:p>
      <w:pPr>
        <w:pStyle w:val="Style15"/>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«Пунктом 4 Постановления №878 было установлено, что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15"/>
        <w:keepNext w:val="0"/>
        <w:keepLines w:val="0"/>
        <w:widowControl w:val="0"/>
        <w:shd w:val="clear" w:color="auto" w:fill="auto"/>
        <w:bidi w:val="0"/>
        <w:spacing w:before="0" w:after="0" w:line="240" w:lineRule="auto"/>
        <w:ind w:left="0" w:right="0" w:firstLine="740"/>
        <w:jc w:val="both"/>
        <w:sectPr>
          <w:footnotePr>
            <w:pos w:val="pageBottom"/>
            <w:numFmt w:val="decimal"/>
            <w:numRestart w:val="continuous"/>
          </w:footnotePr>
          <w:pgSz w:w="11900" w:h="16840"/>
          <w:pgMar w:top="1700" w:right="531" w:bottom="1297" w:left="1077" w:header="0" w:footer="3" w:gutter="0"/>
          <w:cols w:space="720"/>
          <w:noEndnote/>
          <w:rtlGutter w:val="0"/>
          <w:docGrid w:linePitch="360"/>
        </w:sectPr>
      </w:pPr>
      <w:r>
        <w:rPr>
          <w:i/>
          <w:iCs/>
          <w:color w:val="000000"/>
          <w:spacing w:val="0"/>
          <w:w w:val="100"/>
          <w:position w:val="0"/>
          <w:sz w:val="24"/>
          <w:szCs w:val="24"/>
          <w:shd w:val="clear" w:color="auto" w:fill="auto"/>
          <w:lang w:val="ru-RU" w:eastAsia="ru-RU" w:bidi="ru-RU"/>
        </w:rPr>
        <w:t>При этом, пунктом 5 Постановления №878 определено, что подтверждением случая, установленного пунктом 4 Постановления №878, является разрешение на закупку происходящего из иностранного государства промышленного товара, выданное в порядке,</w:t>
      </w:r>
    </w:p>
    <w:p>
      <w:pPr>
        <w:pStyle w:val="Style15"/>
        <w:keepNext w:val="0"/>
        <w:keepLines w:val="0"/>
        <w:widowControl w:val="0"/>
        <w:shd w:val="clear" w:color="auto" w:fill="auto"/>
        <w:bidi w:val="0"/>
        <w:spacing w:before="0" w:after="0" w:line="252" w:lineRule="auto"/>
        <w:ind w:left="0" w:right="0" w:firstLine="0"/>
        <w:jc w:val="both"/>
      </w:pPr>
      <w:r>
        <w:rPr>
          <w:i/>
          <w:iCs/>
          <w:color w:val="000000"/>
          <w:spacing w:val="0"/>
          <w:w w:val="100"/>
          <w:position w:val="0"/>
          <w:sz w:val="24"/>
          <w:szCs w:val="24"/>
          <w:shd w:val="clear" w:color="auto" w:fill="auto"/>
          <w:lang w:val="ru-RU" w:eastAsia="ru-RU" w:bidi="ru-RU"/>
        </w:rPr>
        <w:t>установленном Министерством промышленности и торговли Российской Федерации».</w:t>
      </w:r>
    </w:p>
    <w:p>
      <w:pPr>
        <w:pStyle w:val="Style1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Постановлением Правительства РФ от 06.12.2021 № 2213 пункты 4, 5 Постановления № 878 утратили свою силу с 1 января 2022 года.</w:t>
      </w:r>
    </w:p>
    <w:p>
      <w:pPr>
        <w:pStyle w:val="Style1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Таким образом, единственным условием установления ограничений для целей осуществления закупок для обеспечения государственных и муниципальных нужд, предусмотренных Постановлением №878, является нахождение товара в реестре.</w:t>
      </w:r>
    </w:p>
    <w:p>
      <w:pPr>
        <w:pStyle w:val="Style1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Так, согласно Извещению о проведении запроса котировок в электронной форме № 0163200000323007802 Заказчиком закупается товар соответствующий коду КТРУ 26.60.12.132</w:t>
        <w:softHyphen/>
        <w:t>00000011, который включен в Реестр.</w:t>
      </w:r>
    </w:p>
    <w:p>
      <w:pPr>
        <w:pStyle w:val="Style1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При этом в Постановлении №878 требования о том, что описание объекта должно быть составлено на основании характеристик товаров, содержащихся в таком Реестре, отсутствуют.</w:t>
      </w:r>
    </w:p>
    <w:p>
      <w:pPr>
        <w:pStyle w:val="Style1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Доказательств обратного на заседании Комиссии Управления Заявителем не представлено.</w:t>
      </w:r>
    </w:p>
    <w:p>
      <w:pPr>
        <w:pStyle w:val="Style15"/>
        <w:keepNext w:val="0"/>
        <w:keepLines w:val="0"/>
        <w:widowControl w:val="0"/>
        <w:shd w:val="clear" w:color="auto" w:fill="auto"/>
        <w:bidi w:val="0"/>
        <w:spacing w:before="0" w:after="280" w:line="252" w:lineRule="auto"/>
        <w:ind w:left="0" w:right="0" w:firstLine="740"/>
        <w:jc w:val="both"/>
      </w:pPr>
      <w:r>
        <w:rPr>
          <w:color w:val="000000"/>
          <w:spacing w:val="0"/>
          <w:w w:val="100"/>
          <w:position w:val="0"/>
          <w:sz w:val="24"/>
          <w:szCs w:val="24"/>
          <w:shd w:val="clear" w:color="auto" w:fill="auto"/>
          <w:lang w:val="ru-RU" w:eastAsia="ru-RU" w:bidi="ru-RU"/>
        </w:rPr>
        <w:t>Таким образом, Комиссия Управления приходит к выводу, что рассматриваемый довод Заявителя не нашел своего подтверждения.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Заявителем также указано, что совокупности установленных требований к товару соответствует продукция единственного производителя (без указания конкретного наименования такого производителя).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Из представленной представителем Заказчика сводной таблицы следует, что требованиям Извещения соответствует продукция нескольких производителей, а именно АГйпй1 70 РЕПЫР8, Ьоддд 88 (ЗЕ, у которых показатель «диапазоны значений рабочих частот (МГц)» </w:t>
      </w:r>
      <w:r>
        <w:rPr>
          <w:i/>
          <w:iCs/>
          <w:color w:val="000000"/>
          <w:spacing w:val="0"/>
          <w:w w:val="100"/>
          <w:position w:val="0"/>
          <w:sz w:val="24"/>
          <w:szCs w:val="24"/>
          <w:shd w:val="clear" w:color="auto" w:fill="auto"/>
          <w:lang w:val="ru-RU" w:eastAsia="ru-RU" w:bidi="ru-RU"/>
        </w:rPr>
        <w:t>(прим., на несоответствие которых указывал Заявитель)</w:t>
      </w:r>
      <w:r>
        <w:rPr>
          <w:color w:val="000000"/>
          <w:spacing w:val="0"/>
          <w:w w:val="100"/>
          <w:position w:val="0"/>
          <w:sz w:val="24"/>
          <w:szCs w:val="24"/>
          <w:shd w:val="clear" w:color="auto" w:fill="auto"/>
          <w:lang w:val="ru-RU" w:eastAsia="ru-RU" w:bidi="ru-RU"/>
        </w:rPr>
        <w:t xml:space="preserve"> включают диапазоны таких частот, предусмотренные Техническим заданием. В этой связи такое значение характеристики соответствует потребностям Заказчика.</w:t>
      </w:r>
    </w:p>
    <w:p>
      <w:pPr>
        <w:pStyle w:val="Style15"/>
        <w:keepNext w:val="0"/>
        <w:keepLines w:val="0"/>
        <w:widowControl w:val="0"/>
        <w:shd w:val="clear" w:color="auto" w:fill="auto"/>
        <w:bidi w:val="0"/>
        <w:spacing w:before="0" w:after="280" w:line="240" w:lineRule="auto"/>
        <w:ind w:left="0" w:right="0" w:firstLine="740"/>
        <w:jc w:val="both"/>
      </w:pPr>
      <w:r>
        <w:rPr>
          <w:color w:val="000000"/>
          <w:spacing w:val="0"/>
          <w:w w:val="100"/>
          <w:position w:val="0"/>
          <w:sz w:val="24"/>
          <w:szCs w:val="24"/>
          <w:shd w:val="clear" w:color="auto" w:fill="auto"/>
          <w:lang w:val="ru-RU" w:eastAsia="ru-RU" w:bidi="ru-RU"/>
        </w:rPr>
        <w:t>Поскольку доказательств обратного Заявителем не представлено, рассматриваемый довод также не находит своего подтверждения.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пунктом 1 Постановления №2014 законодателем определена минимальная обязательная доля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(далее - минимальная доля закупок), определенную в процентном отношении к объему закупок товаров (в том числе товаров, поставляемых при выполнении закупаемых работ, оказании закупаемых услуг) соответствующего вида, осуществленных заказчиком в отчетном году.</w:t>
      </w:r>
    </w:p>
    <w:p>
      <w:pPr>
        <w:pStyle w:val="Style15"/>
        <w:keepNext w:val="0"/>
        <w:keepLines w:val="0"/>
        <w:widowControl w:val="0"/>
        <w:shd w:val="clear" w:color="auto" w:fill="auto"/>
        <w:bidi w:val="0"/>
        <w:spacing w:before="0" w:after="280" w:line="240" w:lineRule="auto"/>
        <w:ind w:left="0" w:right="0" w:firstLine="740"/>
        <w:jc w:val="both"/>
      </w:pPr>
      <w:r>
        <w:rPr>
          <w:color w:val="000000"/>
          <w:spacing w:val="0"/>
          <w:w w:val="100"/>
          <w:position w:val="0"/>
          <w:sz w:val="24"/>
          <w:szCs w:val="24"/>
          <w:shd w:val="clear" w:color="auto" w:fill="auto"/>
          <w:lang w:val="ru-RU" w:eastAsia="ru-RU" w:bidi="ru-RU"/>
        </w:rPr>
        <w:t>При этом Комиссия Управления отмечает, что Комиссия при рассмотрении жалоб на конкретные закупки контроль за соблюдением требований Постановления № 2014 не осуществляет.</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Как указано выше, описание объекта закупки содержится в Техническом задании, в соответствии с которым осуществляется закупка оборудования, которое включает в себя </w:t>
      </w:r>
      <w:r>
        <w:rPr>
          <w:b/>
          <w:bCs/>
          <w:color w:val="000000"/>
          <w:spacing w:val="0"/>
          <w:w w:val="100"/>
          <w:position w:val="0"/>
          <w:sz w:val="24"/>
          <w:szCs w:val="24"/>
          <w:shd w:val="clear" w:color="auto" w:fill="auto"/>
          <w:lang w:val="ru-RU" w:eastAsia="ru-RU" w:bidi="ru-RU"/>
        </w:rPr>
        <w:t xml:space="preserve">систему программного обеспечения, </w:t>
      </w:r>
      <w:r>
        <w:rPr>
          <w:color w:val="000000"/>
          <w:spacing w:val="0"/>
          <w:w w:val="100"/>
          <w:position w:val="0"/>
          <w:sz w:val="24"/>
          <w:szCs w:val="24"/>
          <w:shd w:val="clear" w:color="auto" w:fill="auto"/>
          <w:lang w:val="ru-RU" w:eastAsia="ru-RU" w:bidi="ru-RU"/>
        </w:rPr>
        <w:t>поддерживающая целый ряд статистических исследований и специфических кардиологических исследований в режиме реального времени для диагностирования анатомических дефектов сердца, определения характеристик потока крови и функциональных/анатомических проблем, ассоциированных с инфарктом миокарда.</w:t>
      </w:r>
    </w:p>
    <w:p>
      <w:pPr>
        <w:pStyle w:val="Style15"/>
        <w:keepNext w:val="0"/>
        <w:keepLines w:val="0"/>
        <w:widowControl w:val="0"/>
        <w:shd w:val="clear" w:color="auto" w:fill="auto"/>
        <w:bidi w:val="0"/>
        <w:spacing w:before="0" w:after="140" w:line="329" w:lineRule="auto"/>
        <w:ind w:left="0" w:right="0" w:firstLine="740"/>
        <w:jc w:val="both"/>
        <w:sectPr>
          <w:footnotePr>
            <w:pos w:val="pageBottom"/>
            <w:numFmt w:val="decimal"/>
            <w:numRestart w:val="continuous"/>
          </w:footnotePr>
          <w:pgSz w:w="11900" w:h="16840"/>
          <w:pgMar w:top="1700" w:right="531" w:bottom="735" w:left="1087"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Из анализа Технического задания также следует, что программное обеспечение Заказчиком (как самостоятельный товар, который будет передаваться на носителе или по 2023-4068</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электронным каналам связи и подлежать установке на оборудование) не закупается.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рамках данной закупки приобретаются оборудование, в которое уже встроено программное обеспечение, без которого начало использования такого оборудования невозможно. Медицинское изделие является технологически и функционально связанными между собой и должно рассматриваться как единый комплекс («сложная вещь») с соблюдением требований статьи 134 ГК РФ.</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Таким образом, фактически программное обеспечение Заказчиком не приобретается, не передается с товаром, то, что в Техническом задании обозначено как программное обеспечение является функционалом оборудования, поскольку реализуется оно уже с установленными микропрограммами, без которых использование оборудования невозможно.</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 учетом изложенного, оснований для установления ограничений на допуск программ для электронных вычислительных машин и баз данных в соответствии с пунктом 2 Постановления №1236 не имеется.</w:t>
      </w:r>
    </w:p>
    <w:p>
      <w:pPr>
        <w:pStyle w:val="Style15"/>
        <w:keepNext w:val="0"/>
        <w:keepLines w:val="0"/>
        <w:widowControl w:val="0"/>
        <w:shd w:val="clear" w:color="auto" w:fill="auto"/>
        <w:bidi w:val="0"/>
        <w:spacing w:before="0" w:after="280" w:line="240" w:lineRule="auto"/>
        <w:ind w:left="0" w:right="0" w:firstLine="700"/>
        <w:jc w:val="both"/>
      </w:pPr>
      <w:r>
        <w:rPr>
          <w:color w:val="000000"/>
          <w:spacing w:val="0"/>
          <w:w w:val="100"/>
          <w:position w:val="0"/>
          <w:sz w:val="24"/>
          <w:szCs w:val="24"/>
          <w:shd w:val="clear" w:color="auto" w:fill="auto"/>
          <w:lang w:val="ru-RU" w:eastAsia="ru-RU" w:bidi="ru-RU"/>
        </w:rPr>
        <w:t>Таким образом, поскольку Заказчиком в рамках рассматриваемой закупки не осуществляется закупка программного обеспечения как самостоятельного товара, довод Заявителя не находит своего подтверждения.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пункту 2 части 1 статьи 33 Закона при составлении описания объекта закупки заказчик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Приказом Росстандарта от 12.12.2014 № 2091-ст утвержден ГОСТ Р 56327-2014. Национальный стандарт Российской Федерации. Изделия медицинские электрические. Ультразвуковые аппараты экспертного класса. Технические требования для государственных закупок.</w:t>
      </w:r>
    </w:p>
    <w:p>
      <w:pPr>
        <w:pStyle w:val="Style15"/>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Согласно пункту 7.2 ГОСТ Р 56327-2014 возможно включение дополнительных требований, обоснованных Заказчиком с позиций проведения необходимых исследований в соответствии с профилем (ЛПУ).</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Управления, проанализировав Техническое задание, пришла к выводу о том, что Заказчиком при описании объекта закупки были применены положения ГОСТ Р 56327</w:t>
        <w:softHyphen/>
        <w:t>2014 и обоснование необходимости использования параметров, отсутствующих или несоответствующих данному ГОСТ Р было приведено устно в ходе проведения заседания Комиссии.</w:t>
      </w:r>
    </w:p>
    <w:p>
      <w:pPr>
        <w:pStyle w:val="Style15"/>
        <w:keepNext w:val="0"/>
        <w:keepLines w:val="0"/>
        <w:widowControl w:val="0"/>
        <w:shd w:val="clear" w:color="auto" w:fill="auto"/>
        <w:bidi w:val="0"/>
        <w:spacing w:before="0" w:after="280" w:line="240" w:lineRule="auto"/>
        <w:ind w:left="0" w:right="0" w:firstLine="700"/>
        <w:jc w:val="both"/>
      </w:pPr>
      <w:r>
        <w:rPr>
          <w:color w:val="000000"/>
          <w:spacing w:val="0"/>
          <w:w w:val="100"/>
          <w:position w:val="0"/>
          <w:sz w:val="24"/>
          <w:szCs w:val="24"/>
          <w:shd w:val="clear" w:color="auto" w:fill="auto"/>
          <w:lang w:val="ru-RU" w:eastAsia="ru-RU" w:bidi="ru-RU"/>
        </w:rPr>
        <w:t>В данной части жалоба Заявителя также не нашла своего подтверждения.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Заявитель также указывает, что в проекте контракта не содержится информация о сроке действия контракта, что вводит участников закупочных процедур в заблуждение.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8 части 1 статьи 43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сроках исполнения контракта (отдельных этапов исполнения контракта, если проектом контракта предусмотрены такие этапы).</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Комиссией Управления установлено, что к Извещению приложен проект контракта, в пункте 12.1 которого указано, что контракт вступает в силу с момента его подписания и действует до 31.12.2023, что опровергает доводы Заявителя.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отношении довода Заявителя о нарушениях, допущенных Заказчиком при формировании НМЦК, Комиссия отмечает, что антимонопольные органы осуществляют контроль в сфере закупок, за исключением контроля, предусмотренного частями 5 и 8 статьи 99 Закона. Указанными полномочиями наделены органы внутреннего государственного (муниципального) финансового контроля.</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Копия жалобы Заявителя 13.12.2023 была направлена для рассмотрения в Министерство Смоленской области по осуществлению контроля и взаимодействию с административными органами, о чем Заявитель был уведомлен.</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5"/>
        <w:keepNext w:val="0"/>
        <w:keepLines w:val="0"/>
        <w:widowControl w:val="0"/>
        <w:shd w:val="clear" w:color="auto" w:fill="auto"/>
        <w:bidi w:val="0"/>
        <w:spacing w:before="0" w:after="28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Признать жалобу Индивидуального предпринимателя Кравченко Алексея Викторовича на положения Извещения государственного заказчика - Областного государственного бюджетного учреждения здравоохранения «Клиническая больница скорой медицинской помощи», уполномоченного органа - Главного управления Смоленской области по регулированию контрактной системы при проведении запроса котировок в электронной форме: «Аппарат УЗИ» (извещение № 0163200000323007802) необоснованной.</w:t>
      </w:r>
    </w:p>
    <w:p>
      <w:pPr>
        <w:pStyle w:val="Style15"/>
        <w:keepNext w:val="0"/>
        <w:keepLines w:val="0"/>
        <w:widowControl w:val="0"/>
        <w:shd w:val="clear" w:color="auto" w:fill="auto"/>
        <w:bidi w:val="0"/>
        <w:spacing w:before="0" w:after="280" w:line="240" w:lineRule="auto"/>
        <w:ind w:left="0" w:right="0" w:firstLine="760"/>
        <w:jc w:val="both"/>
      </w:pP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5"/>
        <w:keepNext w:val="0"/>
        <w:keepLines w:val="0"/>
        <w:widowControl w:val="0"/>
        <w:shd w:val="clear" w:color="auto" w:fill="auto"/>
        <w:bidi w:val="0"/>
        <w:spacing w:before="0" w:after="0" w:line="240" w:lineRule="auto"/>
        <w:ind w:left="0" w:right="0" w:firstLine="140"/>
        <w:jc w:val="both"/>
      </w:pPr>
      <w:r>
        <w:rPr>
          <w:color w:val="000000"/>
          <w:spacing w:val="0"/>
          <w:w w:val="100"/>
          <w:position w:val="0"/>
          <w:sz w:val="24"/>
          <w:szCs w:val="24"/>
          <w:shd w:val="clear" w:color="auto" w:fill="auto"/>
          <w:lang w:val="ru-RU" w:eastAsia="ru-RU" w:bidi="ru-RU"/>
        </w:rPr>
        <w:t>Заместитель</w:t>
      </w:r>
    </w:p>
    <w:p>
      <w:pPr>
        <w:pStyle w:val="Style15"/>
        <w:keepNext w:val="0"/>
        <w:keepLines w:val="0"/>
        <w:widowControl w:val="0"/>
        <w:shd w:val="clear" w:color="auto" w:fill="auto"/>
        <w:bidi w:val="0"/>
        <w:spacing w:before="0" w:after="120" w:line="240" w:lineRule="auto"/>
        <w:ind w:left="0" w:right="0" w:firstLine="140"/>
        <w:jc w:val="both"/>
      </w:pPr>
      <w:r>
        <w:rPr>
          <w:color w:val="000000"/>
          <w:spacing w:val="0"/>
          <w:w w:val="100"/>
          <w:position w:val="0"/>
          <w:sz w:val="24"/>
          <w:szCs w:val="24"/>
          <w:shd w:val="clear" w:color="auto" w:fill="auto"/>
          <w:lang w:val="ru-RU" w:eastAsia="ru-RU" w:bidi="ru-RU"/>
        </w:rPr>
        <w:t>председателя Комиссии</w:t>
      </w:r>
    </w:p>
    <w:p>
      <w:pPr>
        <w:pStyle w:val="Style15"/>
        <w:keepNext w:val="0"/>
        <w:keepLines w:val="0"/>
        <w:widowControl w:val="0"/>
        <w:shd w:val="clear" w:color="auto" w:fill="auto"/>
        <w:bidi w:val="0"/>
        <w:spacing w:before="0" w:after="200" w:line="240" w:lineRule="auto"/>
        <w:ind w:left="0" w:right="0" w:firstLine="140"/>
        <w:jc w:val="both"/>
      </w:pPr>
      <w:r>
        <w:rPr>
          <w:color w:val="000000"/>
          <w:spacing w:val="0"/>
          <w:w w:val="100"/>
          <w:position w:val="0"/>
          <w:sz w:val="24"/>
          <w:szCs w:val="24"/>
          <w:shd w:val="clear" w:color="auto" w:fill="auto"/>
          <w:lang w:val="ru-RU" w:eastAsia="ru-RU" w:bidi="ru-RU"/>
        </w:rPr>
        <w:t>Члены Комиссии:</w:t>
      </w:r>
    </w:p>
    <w:sectPr>
      <w:headerReference w:type="default" r:id="rId25"/>
      <w:footerReference w:type="default" r:id="rId26"/>
      <w:headerReference w:type="even" r:id="rId27"/>
      <w:footerReference w:type="even" r:id="rId28"/>
      <w:footnotePr>
        <w:pos w:val="pageBottom"/>
        <w:numFmt w:val="decimal"/>
        <w:numRestart w:val="continuous"/>
      </w:footnotePr>
      <w:pgSz w:w="11900" w:h="16840"/>
      <w:pgMar w:top="1700" w:right="525" w:bottom="1326" w:left="110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10016490</wp:posOffset>
              </wp:positionV>
              <wp:extent cx="646430" cy="100330"/>
              <wp:wrapNone/>
              <wp:docPr id="4" name="Shape 4"/>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wps:txbx>
                    <wps:bodyPr wrap="none" lIns="0" tIns="0" rIns="0" bIns="0">
                      <a:spAutoFit/>
                    </wps:bodyPr>
                  </wps:wsp>
                </a:graphicData>
              </a:graphic>
            </wp:anchor>
          </w:drawing>
        </mc:Choice>
        <mc:Fallback>
          <w:pict>
            <v:shape id="_x0000_s1030" type="#_x0000_t202" style="position:absolute;margin-left:56.850000000000001pt;margin-top:788.70000000000005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721995</wp:posOffset>
              </wp:positionH>
              <wp:positionV relativeFrom="page">
                <wp:posOffset>10016490</wp:posOffset>
              </wp:positionV>
              <wp:extent cx="646430" cy="100330"/>
              <wp:wrapNone/>
              <wp:docPr id="8" name="Shape 8"/>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wps:txbx>
                    <wps:bodyPr wrap="none" lIns="0" tIns="0" rIns="0" bIns="0">
                      <a:spAutoFit/>
                    </wps:bodyPr>
                  </wps:wsp>
                </a:graphicData>
              </a:graphic>
            </wp:anchor>
          </w:drawing>
        </mc:Choice>
        <mc:Fallback>
          <w:pict>
            <v:shape id="_x0000_s1034" type="#_x0000_t202" style="position:absolute;margin-left:56.850000000000001pt;margin-top:788.70000000000005pt;width:50.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723900</wp:posOffset>
              </wp:positionH>
              <wp:positionV relativeFrom="page">
                <wp:posOffset>9857740</wp:posOffset>
              </wp:positionV>
              <wp:extent cx="646430" cy="100330"/>
              <wp:wrapNone/>
              <wp:docPr id="10" name="Shape 10"/>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wps:txbx>
                    <wps:bodyPr wrap="none" lIns="0" tIns="0" rIns="0" bIns="0">
                      <a:spAutoFit/>
                    </wps:bodyPr>
                  </wps:wsp>
                </a:graphicData>
              </a:graphic>
            </wp:anchor>
          </w:drawing>
        </mc:Choice>
        <mc:Fallback>
          <w:pict>
            <v:shape id="_x0000_s1036" type="#_x0000_t202" style="position:absolute;margin-left:57.pt;margin-top:776.20000000000005pt;width:50.899999999999999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721995</wp:posOffset>
              </wp:positionH>
              <wp:positionV relativeFrom="page">
                <wp:posOffset>10016490</wp:posOffset>
              </wp:positionV>
              <wp:extent cx="646430" cy="100330"/>
              <wp:wrapNone/>
              <wp:docPr id="22" name="Shape 22"/>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wps:txbx>
                    <wps:bodyPr wrap="none" lIns="0" tIns="0" rIns="0" bIns="0">
                      <a:spAutoFit/>
                    </wps:bodyPr>
                  </wps:wsp>
                </a:graphicData>
              </a:graphic>
            </wp:anchor>
          </w:drawing>
        </mc:Choice>
        <mc:Fallback>
          <w:pict>
            <v:shape id="_x0000_s1048" type="#_x0000_t202" style="position:absolute;margin-left:56.850000000000001pt;margin-top:788.70000000000005pt;width:50.899999999999999pt;height:7.90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721995</wp:posOffset>
              </wp:positionH>
              <wp:positionV relativeFrom="page">
                <wp:posOffset>10016490</wp:posOffset>
              </wp:positionV>
              <wp:extent cx="646430" cy="100330"/>
              <wp:wrapNone/>
              <wp:docPr id="26" name="Shape 26"/>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wps:txbx>
                    <wps:bodyPr wrap="none" lIns="0" tIns="0" rIns="0" bIns="0">
                      <a:spAutoFit/>
                    </wps:bodyPr>
                  </wps:wsp>
                </a:graphicData>
              </a:graphic>
            </wp:anchor>
          </w:drawing>
        </mc:Choice>
        <mc:Fallback>
          <w:pict>
            <v:shape id="_x0000_s1052" type="#_x0000_t202" style="position:absolute;margin-left:56.850000000000001pt;margin-top:788.70000000000005pt;width:50.899999999999999pt;height:7.9000000000000004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721995</wp:posOffset>
              </wp:positionH>
              <wp:positionV relativeFrom="page">
                <wp:posOffset>10016490</wp:posOffset>
              </wp:positionV>
              <wp:extent cx="646430" cy="100330"/>
              <wp:wrapNone/>
              <wp:docPr id="30" name="Shape 30"/>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wps:txbx>
                    <wps:bodyPr wrap="none" lIns="0" tIns="0" rIns="0" bIns="0">
                      <a:spAutoFit/>
                    </wps:bodyPr>
                  </wps:wsp>
                </a:graphicData>
              </a:graphic>
            </wp:anchor>
          </w:drawing>
        </mc:Choice>
        <mc:Fallback>
          <w:pict>
            <v:shape id="_x0000_s1056" type="#_x0000_t202" style="position:absolute;margin-left:56.850000000000001pt;margin-top:788.70000000000005pt;width:50.899999999999999pt;height:7.9000000000000004pt;z-index:-1887440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721995</wp:posOffset>
              </wp:positionH>
              <wp:positionV relativeFrom="page">
                <wp:posOffset>10016490</wp:posOffset>
              </wp:positionV>
              <wp:extent cx="646430" cy="100330"/>
              <wp:wrapNone/>
              <wp:docPr id="36" name="Shape 36"/>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wps:txbx>
                    <wps:bodyPr wrap="none" lIns="0" tIns="0" rIns="0" bIns="0">
                      <a:spAutoFit/>
                    </wps:bodyPr>
                  </wps:wsp>
                </a:graphicData>
              </a:graphic>
            </wp:anchor>
          </w:drawing>
        </mc:Choice>
        <mc:Fallback>
          <w:pict>
            <v:shape id="_x0000_s1062" type="#_x0000_t202" style="position:absolute;margin-left:56.850000000000001pt;margin-top:788.70000000000005pt;width:50.899999999999999pt;height:7.9000000000000004pt;z-index:-18874403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721995</wp:posOffset>
              </wp:positionH>
              <wp:positionV relativeFrom="page">
                <wp:posOffset>10016490</wp:posOffset>
              </wp:positionV>
              <wp:extent cx="646430" cy="100330"/>
              <wp:wrapNone/>
              <wp:docPr id="40" name="Shape 40"/>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wps:txbx>
                    <wps:bodyPr wrap="none" lIns="0" tIns="0" rIns="0" bIns="0">
                      <a:spAutoFit/>
                    </wps:bodyPr>
                  </wps:wsp>
                </a:graphicData>
              </a:graphic>
            </wp:anchor>
          </w:drawing>
        </mc:Choice>
        <mc:Fallback>
          <w:pict>
            <v:shape id="_x0000_s1066" type="#_x0000_t202" style="position:absolute;margin-left:56.850000000000001pt;margin-top:788.70000000000005pt;width:50.899999999999999pt;height:7.9000000000000004pt;z-index:-1887440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2023-4068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3901440</wp:posOffset>
              </wp:positionH>
              <wp:positionV relativeFrom="page">
                <wp:posOffset>539115</wp:posOffset>
              </wp:positionV>
              <wp:extent cx="128270" cy="100330"/>
              <wp:wrapNone/>
              <wp:docPr id="2" name="Shape 2"/>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7.19999999999999pt;margin-top:42.450000000000003pt;width:1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3901440</wp:posOffset>
              </wp:positionH>
              <wp:positionV relativeFrom="page">
                <wp:posOffset>539115</wp:posOffset>
              </wp:positionV>
              <wp:extent cx="128270" cy="100330"/>
              <wp:wrapNone/>
              <wp:docPr id="6" name="Shape 6"/>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2" type="#_x0000_t202" style="position:absolute;margin-left:307.19999999999999pt;margin-top:42.450000000000003pt;width:1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3902710</wp:posOffset>
              </wp:positionH>
              <wp:positionV relativeFrom="page">
                <wp:posOffset>762635</wp:posOffset>
              </wp:positionV>
              <wp:extent cx="128270" cy="100330"/>
              <wp:wrapNone/>
              <wp:docPr id="16" name="Shape 16"/>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2" type="#_x0000_t202" style="position:absolute;margin-left:307.30000000000001pt;margin-top:60.050000000000004pt;width:10.1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3902710</wp:posOffset>
              </wp:positionH>
              <wp:positionV relativeFrom="page">
                <wp:posOffset>762635</wp:posOffset>
              </wp:positionV>
              <wp:extent cx="128270" cy="100330"/>
              <wp:wrapNone/>
              <wp:docPr id="18" name="Shape 18"/>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4" type="#_x0000_t202" style="position:absolute;margin-left:307.30000000000001pt;margin-top:60.050000000000004pt;width:10.1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3901440</wp:posOffset>
              </wp:positionH>
              <wp:positionV relativeFrom="page">
                <wp:posOffset>539115</wp:posOffset>
              </wp:positionV>
              <wp:extent cx="128270" cy="100330"/>
              <wp:wrapNone/>
              <wp:docPr id="20" name="Shape 20"/>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6" type="#_x0000_t202" style="position:absolute;margin-left:307.19999999999999pt;margin-top:42.450000000000003pt;width:10.1pt;height:7.90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3901440</wp:posOffset>
              </wp:positionH>
              <wp:positionV relativeFrom="page">
                <wp:posOffset>539115</wp:posOffset>
              </wp:positionV>
              <wp:extent cx="128270" cy="100330"/>
              <wp:wrapNone/>
              <wp:docPr id="24" name="Shape 24"/>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0" type="#_x0000_t202" style="position:absolute;margin-left:307.19999999999999pt;margin-top:42.450000000000003pt;width:10.1pt;height:7.90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3901440</wp:posOffset>
              </wp:positionH>
              <wp:positionV relativeFrom="page">
                <wp:posOffset>539115</wp:posOffset>
              </wp:positionV>
              <wp:extent cx="128270" cy="100330"/>
              <wp:wrapNone/>
              <wp:docPr id="28" name="Shape 28"/>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4" type="#_x0000_t202" style="position:absolute;margin-left:307.19999999999999pt;margin-top:42.450000000000003pt;width:10.1pt;height:7.9000000000000004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3902710</wp:posOffset>
              </wp:positionH>
              <wp:positionV relativeFrom="page">
                <wp:posOffset>762635</wp:posOffset>
              </wp:positionV>
              <wp:extent cx="128270" cy="100330"/>
              <wp:wrapNone/>
              <wp:docPr id="32" name="Shape 32"/>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8" type="#_x0000_t202" style="position:absolute;margin-left:307.30000000000001pt;margin-top:60.050000000000004pt;width:10.1pt;height:7.9000000000000004pt;z-index:-18874403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3901440</wp:posOffset>
              </wp:positionH>
              <wp:positionV relativeFrom="page">
                <wp:posOffset>539115</wp:posOffset>
              </wp:positionV>
              <wp:extent cx="128270" cy="100330"/>
              <wp:wrapNone/>
              <wp:docPr id="34" name="Shape 34"/>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60" type="#_x0000_t202" style="position:absolute;margin-left:307.19999999999999pt;margin-top:42.450000000000003pt;width:10.1pt;height:7.9000000000000004pt;z-index:-18874403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3901440</wp:posOffset>
              </wp:positionH>
              <wp:positionV relativeFrom="page">
                <wp:posOffset>539115</wp:posOffset>
              </wp:positionV>
              <wp:extent cx="128270" cy="100330"/>
              <wp:wrapNone/>
              <wp:docPr id="38" name="Shape 38"/>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64" type="#_x0000_t202" style="position:absolute;margin-left:307.19999999999999pt;margin-top:42.450000000000003pt;width:10.1pt;height:7.9000000000000004pt;z-index:-18874403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7629D"/>
      <w:sz w:val="16"/>
      <w:szCs w:val="16"/>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8"/>
      <w:szCs w:val="4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70" w:line="300" w:lineRule="auto"/>
      <w:jc w:val="center"/>
    </w:pPr>
    <w:rPr>
      <w:rFonts w:ascii="Times New Roman" w:eastAsia="Times New Roman" w:hAnsi="Times New Roman" w:cs="Times New Roman"/>
      <w:b w:val="0"/>
      <w:bCs w:val="0"/>
      <w:i w:val="0"/>
      <w:iCs w:val="0"/>
      <w:smallCaps w:val="0"/>
      <w:strike w:val="0"/>
      <w:color w:val="47629D"/>
      <w:sz w:val="16"/>
      <w:szCs w:val="16"/>
      <w:u w:val="none"/>
    </w:rPr>
  </w:style>
  <w:style w:type="paragraph" w:customStyle="1" w:styleId="Style8">
    <w:name w:val="Основной текст (2)"/>
    <w:basedOn w:val="Normal"/>
    <w:link w:val="CharStyle9"/>
    <w:pPr>
      <w:widowControl w:val="0"/>
      <w:shd w:val="clear" w:color="auto" w:fill="auto"/>
      <w:spacing w:after="280"/>
    </w:pPr>
    <w:rPr>
      <w:rFonts w:ascii="Times New Roman" w:eastAsia="Times New Roman" w:hAnsi="Times New Roman" w:cs="Times New Roman"/>
      <w:b w:val="0"/>
      <w:bCs w:val="0"/>
      <w:i w:val="0"/>
      <w:iCs w:val="0"/>
      <w:smallCaps w:val="0"/>
      <w:strike w:val="0"/>
      <w:sz w:val="19"/>
      <w:szCs w:val="19"/>
      <w:u w:val="none"/>
    </w:rPr>
  </w:style>
  <w:style w:type="paragraph" w:customStyle="1" w:styleId="Style11">
    <w:name w:val="Заголовок №2"/>
    <w:basedOn w:val="Normal"/>
    <w:link w:val="CharStyle12"/>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Заголовок №3"/>
    <w:basedOn w:val="Normal"/>
    <w:link w:val="CharStyle18"/>
    <w:pPr>
      <w:widowControl w:val="0"/>
      <w:shd w:val="clear" w:color="auto" w:fill="auto"/>
      <w:spacing w:line="218" w:lineRule="auto"/>
      <w:outlineLvl w:val="2"/>
    </w:pPr>
    <w:rPr>
      <w:rFonts w:ascii="Times New Roman" w:eastAsia="Times New Roman" w:hAnsi="Times New Roman" w:cs="Times New Roman"/>
      <w:b/>
      <w:bCs/>
      <w:i w:val="0"/>
      <w:iCs w:val="0"/>
      <w:smallCaps w:val="0"/>
      <w:strike w:val="0"/>
      <w:u w:val="none"/>
    </w:rPr>
  </w:style>
  <w:style w:type="paragraph" w:customStyle="1" w:styleId="Style22">
    <w:name w:val="Заголовок №1"/>
    <w:basedOn w:val="Normal"/>
    <w:link w:val="CharStyle23"/>
    <w:pPr>
      <w:widowControl w:val="0"/>
      <w:shd w:val="clear" w:color="auto" w:fill="auto"/>
      <w:spacing w:after="28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header" Target="header10.xml"/><Relationship Id="rId26" Type="http://schemas.openxmlformats.org/officeDocument/2006/relationships/footer" Target="footer10.xml"/><Relationship Id="rId27" Type="http://schemas.openxmlformats.org/officeDocument/2006/relationships/header" Target="header11.xml"/><Relationship Id="rId28" Type="http://schemas.openxmlformats.org/officeDocument/2006/relationships/footer" Target="footer11.xml"/></Relationships>
</file>