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134"/>
          <w:szCs w:val="134"/>
        </w:rPr>
      </w:pPr>
      <w:r>
        <w:rPr>
          <w:color w:val="4460A1"/>
          <w:spacing w:val="0"/>
          <w:w w:val="100"/>
          <w:position w:val="0"/>
          <w:sz w:val="134"/>
          <w:szCs w:val="134"/>
          <w:u w:val="single"/>
          <w:shd w:val="clear" w:color="auto" w:fill="auto"/>
          <w:lang w:val="ru-RU" w:eastAsia="ru-RU" w:bidi="ru-RU"/>
        </w:rPr>
        <w:t>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color w:val="4460A1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460A1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4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460A1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Федеральной антимонопольной службы</w:t>
        <w:br/>
        <w:t>по Томской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140"/>
        <w:jc w:val="left"/>
        <w:rPr>
          <w:sz w:val="16"/>
          <w:szCs w:val="16"/>
        </w:rPr>
      </w:pPr>
      <w:r>
        <w:rPr>
          <w:color w:val="4460A1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Адрес места нахождения: г.Томск, пр-кт. Ленина, 111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  <w:rPr>
          <w:sz w:val="16"/>
          <w:szCs w:val="16"/>
        </w:rPr>
      </w:pPr>
      <w:r>
        <w:rPr>
          <w:color w:val="4460A1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Почтовый адрес: 634069, г.Томск, пр-кт. Ленина, 111</w:t>
        <w:br/>
        <w:t>тел. (3822) 51-50-61, факс (3822) 51-29-80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  <w:rPr>
          <w:sz w:val="16"/>
          <w:szCs w:val="16"/>
        </w:rPr>
      </w:pPr>
      <w:r>
        <w:rPr>
          <w:color w:val="4460A1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е-тай: 1о70@(а8.§оу.п1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1954" w:val="left"/>
        </w:tabs>
        <w:bidi w:val="0"/>
        <w:spacing w:before="0" w:after="320" w:line="240" w:lineRule="auto"/>
        <w:ind w:left="0" w:right="0" w:firstLine="140"/>
        <w:jc w:val="left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9.12,2023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АА/7811/2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66" w:lineRule="auto"/>
        <w:ind w:left="0" w:right="0" w:firstLine="0"/>
        <w:jc w:val="left"/>
        <w:rPr>
          <w:sz w:val="18"/>
          <w:szCs w:val="18"/>
        </w:rPr>
      </w:pPr>
      <w:r>
        <w:rPr>
          <w:color w:val="4460A1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делу №070/06/106-1101/2023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Байрамуков Азрет Муратбиевич 369228, Карачаево-черкесская Республика, Ставрополь, ПГТ Новый Карачай, ул. Тоторкулова, д. 8, кв. 151 ахге1Еаугас@дтай .сот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 Федеральной службы государственной регистрации, кадастра и картографии по Томской области 634003, обл. Томская, г. Томск, ул.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Пушкина, д. 34/1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еу\У1х1е1@т7().го^гее^1г.П1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"РТС-тендер"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121151, г. Москва, наб. Тараса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Шевченко, д. 23А, 25 этаж, помещение 1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63" w:right="704" w:bottom="1217" w:left="1140" w:header="0" w:footer="3" w:gutter="0"/>
          <w:pgNumType w:start="1"/>
          <w:cols w:num="2" w:space="720" w:equalWidth="0">
            <w:col w:w="4214" w:space="1051"/>
            <w:col w:w="4790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ко@г18-1епдег.ги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" w:after="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0" w:bottom="12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№070/06/106-1101/2023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жалобы о нарушении</w:t>
        <w:br/>
        <w:t>законодательства Российской Федерации</w:t>
        <w:br/>
        <w:t>о контрактной системе в сфере закупок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6012180</wp:posOffset>
                </wp:positionH>
                <wp:positionV relativeFrom="paragraph">
                  <wp:posOffset>12700</wp:posOffset>
                </wp:positionV>
                <wp:extent cx="631190" cy="25273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11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Томск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473.40000000000003pt;margin-top:1.pt;width:49.700000000000003pt;height:19.90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Томск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07.12.2023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12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Томской области по контролю законодательства о контрактной системе в сфере закупок, рассмотрению информации о включении в реестр недобросовестных поставщиков (далее - Комиссия Томского УФАС России, Комиссия)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комиссии:</w:t>
      </w:r>
    </w:p>
    <w:tbl>
      <w:tblPr>
        <w:tblOverlap w:val="never"/>
        <w:jc w:val="center"/>
        <w:tblLayout w:type="fixed"/>
      </w:tblPr>
      <w:tblGrid>
        <w:gridCol w:w="2707"/>
        <w:gridCol w:w="6749"/>
      </w:tblGrid>
      <w:tr>
        <w:trPr>
          <w:trHeight w:val="624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Абдурахманова А.Ф, членов комиссии: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- заместителя руководителя управления;</w:t>
            </w:r>
          </w:p>
        </w:tc>
      </w:tr>
      <w:tr>
        <w:trPr>
          <w:trHeight w:val="68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Кобзевой М.А.,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- ВрИО начальника отдела контроля органов власти и торгов</w:t>
            </w:r>
          </w:p>
        </w:tc>
      </w:tr>
      <w:tr>
        <w:trPr>
          <w:trHeight w:val="610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Крыловой К.С.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- специалиста 1 разряда отдела контроля органов власти и торгов,</w:t>
            </w:r>
          </w:p>
        </w:tc>
      </w:tr>
    </w:tbl>
    <w:p>
      <w:pPr>
        <w:widowControl w:val="0"/>
        <w:spacing w:after="27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38"/>
          <w:szCs w:val="38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704" w:bottom="1217" w:left="1097" w:header="0" w:footer="3" w:gutter="0"/>
          <w:cols w:space="720"/>
          <w:noEndnote/>
          <w:rtlGutter w:val="0"/>
          <w:docGrid w:linePitch="360"/>
        </w:sect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38"/>
          <w:szCs w:val="38"/>
          <w:shd w:val="clear" w:color="auto" w:fill="auto"/>
          <w:lang w:val="ru-RU" w:eastAsia="ru-RU" w:bidi="ru-RU"/>
        </w:rPr>
        <w:t>||||||||||||||||||||||||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ИП Байрамуков А.М. (далее - Заявитель) на действия УПРАВЛЕНИЕ ФЕДЕРАЛЬНОЙ СЛУЖБЫ ГОСУДАРСТВЕННОЙ РЕГИСТРАЦИИ, КАДАСТРА И КАРТОГРАФИИ ПО ТОМСКОЙ ОБЛАСТИ (далее - Заказчик) при осуществлении закупки в форме электронного аукциона «Оказание услуг по обслуживанию и уборке помещения» (извещение № 0165100006323000075), (далее - аукцион), и проведя внеплановую проверку в соответствии с пунктом 1 части 15 статьи 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системе, Закон 44-ФЗ, Закон о закупках),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представителя Заказчика Вердер Е.С. (доверенность № 211 от 05.12.2023), в отсутствие представителей Заявителя о дате и месте рассмотрения жалобы, уведомленных надлежащим образом,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Томское УФАС России обратился Заявитель с жалобой, поданной в срок и соответствующей статье 105 Закона 44-ФЗ на действия Заказчика при осуществлении закупки в форме электронного аукциона «Оказание услуг по обслуживанию и уборке помещения» (извещение № 0165100006323000075 ), нарушающие, по мнению Заявителя, законодательство 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в жалобе указывает, что в извещении не установлены требования к участникам закупки, которые Заказчик обязан установить в соответствии с частью 4 статьи 31 Закона о контрактной системе, позицией 36 Постановления Правительства РФ 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- Постановление № 2571).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просит признать жалобу обоснованной.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в письменных пояснениях указывает, что было принято решение внести изменения в извещение, а именно установить дополнительные требования в соответствии с частью 4 статьи 31 Закона о контрактной системе, позицией 36 Постановлением № 2571.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просит признать жалобу необоснованной.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проверки, Комиссия Томского УФАС России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80" w:line="271" w:lineRule="auto"/>
        <w:ind w:left="0" w:right="0" w:firstLine="78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Извещение о проведении закупки размещено на Официальном сайте единой информационной системы в сфере закупок в информационно</w:t>
        <w:softHyphen/>
        <w:t xml:space="preserve">телекоммуникационной сети Интернет (далее - Официальный сайт, ЕИС)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2023-9984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составляет 2 120 875,00 руб.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Объект закупки - «Оказание услуг по обслуживанию и уборке помещения».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участие в закупке подана 1 заявка.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12 ч. 1 ст. 42 Закона о закупках,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требования, предъявляемые к участникам закупки в соответствии с ч. 1 ст. 31 настоящего Федерального закона, требования, предъявляемые к участникам закупки в соответствии с ч.ч.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2 ст. 31 Закона о закупках,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1" w:val="left"/>
        </w:tabs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0" w:val="left"/>
        </w:tabs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0" w:val="left"/>
        </w:tabs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0" w:val="left"/>
        </w:tabs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 4 ст. 31 Закона о закупках,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 исполнение ч. 4 ст. 31 Закона о контрактной системе принято Постановление № 2571.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720"/>
        <w:jc w:val="both"/>
        <w:rPr>
          <w:sz w:val="24"/>
          <w:szCs w:val="24"/>
        </w:rPr>
        <w:sectPr>
          <w:headerReference w:type="default" r:id="rId6"/>
          <w:footerReference w:type="default" r:id="rId7"/>
          <w:headerReference w:type="first" r:id="rId8"/>
          <w:footerReference w:type="first" r:id="rId9"/>
          <w:footnotePr>
            <w:pos w:val="pageBottom"/>
            <w:numFmt w:val="decimal"/>
            <w:numRestart w:val="continuous"/>
          </w:footnotePr>
          <w:pgSz w:w="11900" w:h="16840"/>
          <w:pgMar w:top="1832" w:right="525" w:bottom="575" w:left="1059" w:header="0" w:footer="3" w:gutter="0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п. 36 приложения к Постановлению Правительства № 2571 к участникам закупки на оказание услуг по уборке зданий, сооружений, прилегающих к ним территорий, устанавливается требование о наличии у участника закупки опыта исполнения участником закупки договора,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2023-9984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предусматривающего оказание услуг по уборке зданий, сооружений, прилегающих к ним территорий.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Томского УФАС России выявлено, что в извещении от 30.11.2023 не установлены дополнительные требования к участникам закупки в соответствии с п. 36 Постановления № 2571.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в извещении должны быть установлены дополнительные требования на основании Приложения к Постановлению Правительства № 2571.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Томского УФАС России, изучив материалы дела, пришла к следующему выводу.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части 1 статьи 49 Федерального закона № 44-ФЗ электронный аукцион начинается с размещения в единой информационной системе извещения об осуществлении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Проанализировав положения извещения о проведении электронного аукциона, Комиссией Томского УФАС России установлено, что объект закупки попадает под действие Постановления Правительства № 2571, в связи с чем у Заказчика имелась обязанность установить дополнительные требования к участникам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к извещению о проведении закупки установлены статьей 42 Федерального закона № 44-ФЗ, частью 1 которой определено, какая информация должна содержаться в извещении о проведении закупки, а частью 2 - какие электронные документы должно содержать извещение о проведении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4 статьи 42 Закона о контрактной системе Заказчик по собственной инициативе или в соответствии с запросом, предусмотренным частью 5 настоящей статьи, вправе внести изменения в извещение об осуществлении закупки, которые формируются с использованием единой информационной системы, подписываются усиленной электронной подписью лица, имеющего право действовать от имени заказчика, и размещаются в единой информационной системе, не позднее чем за один рабочий день до даты окончания срока подачи заявок на участие в закупке.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Томского УФАС России установлено, что заказчиком 01.12.2023 года внесены изменения в извещение о проведении закупки, которым требования к содержанию и составу заявки на участие в закупке приведено в соответствии с требованиями законодательства о контрактной системе с учетом объекта закупки.</w:t>
      </w:r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связи с тем, что заказчик внес изменения в извещение о проведении закупки в части обжалуемых заявителем положений извещения, данные положения не влекут за собой правовые последствия.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заявителя признается необоснованной.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Томского УФАС, с учетом изложенного, руководствуясь статьей 99, 105, 106 Закона о контрактной системе,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Байрамуков А.М. (далее - Заявитель) на действия УПРАВЛЕНИЕ ФЕДЕРАЛЬНОЙ СЛУЖБЫ ГОСУДАРСТВЕННОЙ РЕГИСТРАЦИИ, КАДАСТРА И КАРТОГРАФИИ ПО ТОМСКОЙ ОБЛАСТИ (далее - Заказчик) при осуществлении закупки в форме электронного аукциона «Оказание услуг по обслуживанию и уборке помещения» (извещение № 0165100006323000075), (далее - аукцион), необоснованной.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Заказчика нарушений Закона о контрактной системе не выявлено.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906" w:val="left"/>
        </w:tabs>
        <w:bidi w:val="0"/>
        <w:spacing w:before="0" w:after="4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не выдавать.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в установленном законом порядке.</w:t>
      </w:r>
    </w:p>
    <w:p>
      <w:pPr>
        <w:widowControl w:val="0"/>
        <w:spacing w:line="1" w:lineRule="exact"/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662" w:right="541" w:bottom="1619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990600" distB="280035" distL="0" distR="0" simplePos="0" relativeHeight="125829380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990600</wp:posOffset>
                </wp:positionV>
                <wp:extent cx="1828800" cy="24701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950000000000003pt;margin-top:78.pt;width:144.pt;height:19.449999999999999pt;z-index:-125829373;mso-wrap-distance-left:0;mso-wrap-distance-top:78.pt;mso-wrap-distance-right:0;mso-wrap-distance-bottom:22.0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155065" distB="0" distL="0" distR="1804670" simplePos="0" relativeHeight="125829382" behindDoc="0" locked="0" layoutInCell="1" allowOverlap="1">
            <wp:simplePos x="0" y="0"/>
            <wp:positionH relativeFrom="page">
              <wp:posOffset>2680335</wp:posOffset>
            </wp:positionH>
            <wp:positionV relativeFrom="paragraph">
              <wp:posOffset>1155065</wp:posOffset>
            </wp:positionV>
            <wp:extent cx="311150" cy="36576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1228090</wp:posOffset>
                </wp:positionV>
                <wp:extent cx="1722120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pt;margin-top:96.700000000000003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40790" distB="24130" distL="0" distR="0" simplePos="0" relativeHeight="125829383" behindDoc="0" locked="0" layoutInCell="1" allowOverlap="1">
                <wp:simplePos x="0" y="0"/>
                <wp:positionH relativeFrom="page">
                  <wp:posOffset>5655310</wp:posOffset>
                </wp:positionH>
                <wp:positionV relativeFrom="paragraph">
                  <wp:posOffset>1240790</wp:posOffset>
                </wp:positionV>
                <wp:extent cx="1530350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303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А.Ф. Абдурахманов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45.30000000000001pt;margin-top:97.700000000000003pt;width:120.5pt;height:19.900000000000002pt;z-index:-125829370;mso-wrap-distance-left:0;mso-wrap-distance-top:97.700000000000003pt;mso-wrap-distance-right:0;mso-wrap-distance-bottom:1.90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А.Ф. Абдурахманов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Georgia" w:eastAsia="Georgia" w:hAnsi="Georgia" w:cs="Georgia"/>
          <w:color w:val="E9E9E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Абдурахманов Азамат Фархадович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45454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45454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00С755ЕЕ55В155С4ЕЕ8Е81СЕС434А4Е9Е0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45454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27.06.2023 </w:t>
      </w:r>
      <w:r>
        <w:rPr>
          <w:rFonts w:ascii="Arial" w:eastAsia="Arial" w:hAnsi="Arial" w:cs="Arial"/>
          <w:color w:val="80808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19.09.2024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2659380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462915</wp:posOffset>
                </wp:positionV>
                <wp:extent cx="1286510" cy="1035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5.40000000000001pt;margin-top:36.450000000000003pt;width:101.3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2.05000000000001pt;margin-top:11.950000000000001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М.А.Кобзева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Кобзева Мария Александровна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45454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45454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7С9523Е362Е0П7ААЕЕ07ЕЗО0Е5ЕЕЕ18В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45454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18.07.2023 </w:t>
      </w:r>
      <w:r>
        <w:rPr>
          <w:rFonts w:ascii="Arial" w:eastAsia="Arial" w:hAnsi="Arial" w:cs="Arial"/>
          <w:color w:val="80808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10.10.2024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2659380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466090</wp:posOffset>
                </wp:positionV>
                <wp:extent cx="1280160" cy="10033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5.40000000000001pt;margin-top:36.700000000000003pt;width:100.8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42.05000000000001pt;margin-top:11.950000000000001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К.С.Крылова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Крылова Карина Сергеевна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45454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80808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241</w:t>
      </w:r>
      <w:r>
        <w:rPr>
          <w:rFonts w:ascii="Arial" w:eastAsia="Arial" w:hAnsi="Arial" w:cs="Arial"/>
          <w:color w:val="22222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Е4Э4С2442Е14ВАЕ6А5С896О85СС6В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45454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80808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25.01.2023 по </w:t>
      </w:r>
      <w:r>
        <w:rPr>
          <w:rFonts w:ascii="Arial" w:eastAsia="Arial" w:hAnsi="Arial" w:cs="Arial"/>
          <w:color w:val="45454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19.04.2024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41" w:bottom="166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2023-9984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776.2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2023-9984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2023-9984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pt;margin-top:788.70000000000005pt;width:51.100000000000001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2023-9984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614680</wp:posOffset>
              </wp:positionV>
              <wp:extent cx="54610" cy="10668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8.94999999999999pt;margin-top:48.399999999999999pt;width:4.2999999999999998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977900</wp:posOffset>
              </wp:positionV>
              <wp:extent cx="819785" cy="12192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1978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ru-RU" w:eastAsia="ru-RU" w:bidi="ru-RU"/>
                            </w:rPr>
                            <w:t>30.11.2023.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700000000000003pt;margin-top:77.pt;width:64.549999999999997pt;height:9.59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ru-RU" w:eastAsia="ru-RU" w:bidi="ru-RU"/>
                      </w:rPr>
                      <w:t>30.11.2023.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3933825</wp:posOffset>
              </wp:positionH>
              <wp:positionV relativeFrom="page">
                <wp:posOffset>904240</wp:posOffset>
              </wp:positionV>
              <wp:extent cx="6413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75pt;margin-top:71.200000000000003pt;width:5.0499999999999998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759460</wp:posOffset>
              </wp:positionV>
              <wp:extent cx="57785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44999999999999pt;margin-top:59.800000000000004pt;width:4.5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Подпись к таблиц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3">
    <w:name w:val="Подпись к картинке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222"/>
      <w:sz w:val="11"/>
      <w:szCs w:val="11"/>
      <w:u w:val="none"/>
    </w:rPr>
  </w:style>
  <w:style w:type="character" w:customStyle="1" w:styleId="CharStyle26">
    <w:name w:val="Заголовок №1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  <w:spacing w:after="8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spacing w:after="8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Подпись к таблице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2">
    <w:name w:val="Подпись к картинке"/>
    <w:basedOn w:val="Normal"/>
    <w:link w:val="CharStyle2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222"/>
      <w:sz w:val="11"/>
      <w:szCs w:val="11"/>
      <w:u w:val="none"/>
    </w:rPr>
  </w:style>
  <w:style w:type="paragraph" w:customStyle="1" w:styleId="Style25">
    <w:name w:val="Заголовок №1"/>
    <w:basedOn w:val="Normal"/>
    <w:link w:val="CharStyle26"/>
    <w:pPr>
      <w:widowControl w:val="0"/>
      <w:shd w:val="clear" w:color="auto" w:fill="auto"/>
      <w:ind w:firstLine="56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header" Target="header1.xml"/><Relationship Id="rId7" Type="http://schemas.openxmlformats.org/officeDocument/2006/relationships/footer" Target="footer2.xml"/><Relationship Id="rId8" Type="http://schemas.openxmlformats.org/officeDocument/2006/relationships/header" Target="header2.xml"/><Relationship Id="rId9" Type="http://schemas.openxmlformats.org/officeDocument/2006/relationships/footer" Target="footer3.xml"/><Relationship Id="rId10" Type="http://schemas.openxmlformats.org/officeDocument/2006/relationships/header" Target="header3.xml"/><Relationship Id="rId11" Type="http://schemas.openxmlformats.org/officeDocument/2006/relationships/footer" Target="footer4.xml"/><Relationship Id="rId12" Type="http://schemas.openxmlformats.org/officeDocument/2006/relationships/image" Target="media/image1.jpeg"/><Relationship Id="rId13" Type="http://schemas.openxmlformats.org/officeDocument/2006/relationships/image" Target="media/image1.jpeg" TargetMode="External"/><Relationship Id="rId14" Type="http://schemas.openxmlformats.org/officeDocument/2006/relationships/image" Target="media/image2.jpeg"/><Relationship Id="rId15" Type="http://schemas.openxmlformats.org/officeDocument/2006/relationships/image" Target="media/image2.jpeg" TargetMode="External"/><Relationship Id="rId16" Type="http://schemas.openxmlformats.org/officeDocument/2006/relationships/image" Target="media/image3.jpeg"/><Relationship Id="rId17" Type="http://schemas.openxmlformats.org/officeDocument/2006/relationships/image" Target="media/image3.jpeg" TargetMode="External"/></Relationships>
</file>