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724535</wp:posOffset>
                </wp:positionH>
                <wp:positionV relativeFrom="paragraph">
                  <wp:posOffset>12700</wp:posOffset>
                </wp:positionV>
                <wp:extent cx="2624455" cy="2724785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24455" cy="27247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Липецкой области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пл. Плеханова, 1, г. Липецк, 398050</w:t>
                              <w:br/>
                              <w:t>тел./факс (4742) 27-14-82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е-таП: 1о48@Газ. </w:t>
                            </w:r>
                            <w:r>
                              <w:rPr>
                                <w:rFonts w:ascii="Arial" w:eastAsia="Arial" w:hAnsi="Arial" w:cs="Arial"/>
                                <w:smallCaps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ru-RU" w:eastAsia="ru-RU" w:bidi="ru-RU"/>
                              </w:rPr>
                              <w:t>§оу.гп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 1И1р://11ре1бк.Га8.доу.ги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8.12,2023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ТР/9028/23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64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7.050000000000004pt;margin-top:1.pt;width:206.65000000000001pt;height:214.55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Липецкой области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пл. Плеханова, 1, г. Липецк, 398050</w:t>
                        <w:br/>
                        <w:t>тел./факс (4742) 27-14-82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е-таП: 1о48@Газ. </w:t>
                      </w:r>
                      <w:r>
                        <w:rPr>
                          <w:rFonts w:ascii="Arial" w:eastAsia="Arial" w:hAnsi="Arial" w:cs="Arial"/>
                          <w:smallCaps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ru-RU" w:eastAsia="ru-RU" w:bidi="ru-RU"/>
                        </w:rPr>
                        <w:t>§оу.гп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 1И1р://11ре1бк.Га8.доу.ги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8.12,2023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 xml:space="preserve">№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ТР/9028/23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64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9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Федеральное государственное бюджетное образовательное учреждение высшего образования «Елецкий государственный университет им. И.А. Бунина» 1огд@е18и.гн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«ОРЛОВСКИЙ ЗАВОД СВЕТОПРОЗРАЧНЫХ КОНСТРУКЦИЙ»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520" w:line="240" w:lineRule="auto"/>
        <w:ind w:left="0" w:right="0" w:firstLine="9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Vапек.Ге^^п@^с1ои^.сот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 048/06/106-1087/2023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6329680</wp:posOffset>
                </wp:positionH>
                <wp:positionV relativeFrom="paragraph">
                  <wp:posOffset>12700</wp:posOffset>
                </wp:positionV>
                <wp:extent cx="746760" cy="25019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676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Липецк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498.40000000000003pt;margin-top:1.pt;width:58.800000000000004pt;height:19.699999999999999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Липецк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«14» декабря 2023 года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решения оглашена 14.12.2023.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в полном объеме изготовлено 18.12.2023.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Липецкого УФАС России по контролю в сфере закупок товаров, работ, услуг для обеспечения государственных и муниципальных нужд на территории Липецкой области (далее - Комиссия; Комиссия Липецкого УФАС России)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заместитель председателя Комиссии: Т.Н. Ролдугина - начальник отдела контроля закупок и торгов,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 С.С. Кажушко - ведущий специалист-эксперт отдела контроля закупок и торгов, Д.Е. Кудрявцева -специалист 1 разряда отдела контроля закупок и торгов,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посредством видеоконференцсвязи представителя федерального государственного бюджетного образовательного учреждения высшего образования «Елецкий государственный университет им. И.А. Бунина»: А.А. Газимагомедова (по доверенности),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«ОРЛОВСКИЙ ЗАВОД СВЕТОПРОЗРАЧНЫХ КОНСТРУКЦИЙ» на положения извещения о проведении электронного аукциона на проведение капитального ремонта комплекса зданий по адресу: Липецкая область, город Елец, ул. Коммунаров, д.28, Лит. А, Лит. А2, Липецкая область, город Елец, ул.Допризывников, д.1/3, Лит. Е, Лит. Н (Выполнение работ по капитальному ремонту оконных блоков (окна) Учебного корпуса ЕГУ им. И.А. Бунина, по адресу: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399770, Центральный федеральный округ, Липецкая область, г. Елец, ул. Допризывников, д 1/3, Лит. Н) (реестровый номер 0346100001323000008) (далее - электронный аукцион), а также другие документы (копии), представленные сторонами, проведя внеплановую проверку в соответствии со ст.99 Закона о контрактной системе и на основании приказа Липецкого УФАС России,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 С Т А Н О В И Л А: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Липецкое УФАС России посредством ЕИС поступила жалоба ООО «ОРЛОВСКИЙ ЗАВОД СВЕТОПРОЗРАЧНЫХ КОНСТРУКЦИЙ» (далее- заявитель) на положения извещения о проведении электронного аукциона (заказчик - федеральное государственное бюджетное образовательное учреждение высшего образования «Елецкий государственный университет им. И.А. Бунина»).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подготовлена в соответствии с требованиями статьи 105 Федерального закона от 05.04.2013 № 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 и подана в срок, установленный ст.105 Закона о контрактной системе. В связи с этим жалоба была принята Липецким УФАС России к рассмотрению.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и сведения о времени и месте ее рассмотрения размещены Липецким УФАС России в разделе «жалобы» ЕИС.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своей жалобе заявитель указывает, что срок для выполнения работ с учетом срока на заключение контракта является ненадлежащим, не позволяющим выполнить работы по контракту. Установление заказчиком ненадлежащего срока ограничивает количество участников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Представитель заказчика не согласен с жалобой и пояснил, что заказчик планировал провести капитальный ремонт в конце декабря 2023 года. При этом заказчик не проводит закупку на производство окон. В связи с чем, довод жалобы о том, что нужно после обмера провести производство окон несостоятелен. Заказчик проводит 3 закупки на капитальный ремонт, которые разделены по объектам заказчика. Заявитель подавал заявки на участие в закупках.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 8 ч. 1 ст. 42 Закона о контрактной системе, в извещении о проведении закупки должен содержаться срок исполнения контракта (отдельных этапов исполнения контракта, если проектом контракта предусмотрены такие этапы).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 проведении электронного аукциона 04.12.2023 размещено в ЕИС.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извещении заказчик указал: дата начала исполнения контракта - с даты заключения контракта; дата окончания исполнения контракта - 27.12.2023.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Порядок определения заказчиком срока исполнения обязательств по контракту при формировании положения извещения о проведении электронного аукциона Законом о контрактной системе не урегулирован.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Следовательно, такой срок определяется заказчиком по его усмотрению. Установление срока в том виде, в котором он установлен в извещении о проведении электронного аукциона, является как риском заказчика, так и риском подрядчика,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подающего заявку на участие в электронном аукционе.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рассматривая действия заказчика по формированию положений извещения о проведении электронного аукциона, в том числе, в части сроков выполнения работ, на предмет соответствия требованиям законодательства о контрактной системе в сфере закупок, необходимо соотносить такие действия не только на предмет их корреспондирования такому принципу контрактной системы в сфере закупок как обеспечение конкуренции, но и принципам профессионализма заказчика, ответственности за результативность обеспечения государственных и муниципальных нужд, эффективности осуществления закупок, не предоставляя при этом приоритет ни одному из принципов в ущерб другому, соблюдая баланс их взаимодействия, корреляции друг с другом при осуществлении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данном случае при проведении электронного аукциона действия заказчика по установлению срока выполнения работ - до 27.12.2023 отвечают, с одной стороны, принципам профессионализма заказчика, ответственности за результативность обеспечения государственных и муниципальных нужд, эффективности осуществления закупок, поскольку установление иного срока выполнения работ по контракту приведет к неудовлетворению нужды заказчика в работах, являющихся предметом контракта, невозможности оплаты выполненных работ в рамках средств заказчика на текущий год, с другой стороны, принципу обеспечения конкуренции, поскольку согласно протоколу подведения итогов определения поставщика (подрядчика, исполнителя) от 12.12.2023 К ИЭА1 на участие в электронном аукционе было подано 9 заявок.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Указанные действия заказчика не вступают в противоречие с требованиями законодательства о контрактной системе в сфере закупок, отвечают совокупности принципов контрактной системы в сфере закупок.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Если бы условия о сроках выполнения работ были бы неисполнимыми, на участие в электронном аукционе не поступило бы ни одной заявки.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установлено, что на закупки заказчика (реестровые номера 0346100001323000010, 0346100001323000011) с аналогичными условиями о сроках выполнения работ заявителем поданы заявки.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явку представителей на заседание Комиссии не обеспечил, доказательств обратного не представил.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Руководствуясь ст.ст. 99, 105, 106 Закона о контрактной системе, Комиссия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ООО «ОРЛОВСКИЙ ЗАВОД СВЕТОПРОЗРАЧНЫХ КОНСТРУКЦИЙ» на положения извещения о проведении электронного аукциона на проведение капитального ремонта комплекса зданий по адресу: Липецкая область, город Елец, ул. Коммунаров, д.28, Лит. А, Лит. А2, Липецкая область, город Елец, ул.Допризывников, д.1/3, Лит. Е, Лит. Н (Выполнение работ по капитальному ремонту оконных блоков (окна) Учебного корпуса ЕГУ им. И.А. Бунина, по адресу: 399770, Центральный федеральный округ, Липецкая область, г. Елец, ул.</w:t>
      </w:r>
      <w:r>
        <w:br w:type="page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Допризывников, д 1/3, Лит. Н) (реестровый номер 0346100001323000008) необоснованной.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05" w:right="530" w:bottom="1217" w:left="1098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арбитражный суд в течение трех месяцев со дня его вынесения.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9" w:after="4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0" w:bottom="96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framePr w:w="2208" w:h="720" w:wrap="none" w:vAnchor="text" w:hAnchor="page" w:x="116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 Комиссии:</w:t>
      </w:r>
    </w:p>
    <w:p>
      <w:pPr>
        <w:pStyle w:val="Style10"/>
        <w:keepNext w:val="0"/>
        <w:keepLines w:val="0"/>
        <w:framePr w:w="2160" w:h="398" w:wrap="none" w:vAnchor="text" w:hAnchor="page" w:x="1161" w:y="17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tbl>
      <w:tblPr>
        <w:tblOverlap w:val="never"/>
        <w:jc w:val="left"/>
        <w:tblLayout w:type="fixed"/>
      </w:tblPr>
      <w:tblGrid>
        <w:gridCol w:w="3432"/>
        <w:gridCol w:w="82"/>
      </w:tblGrid>
      <w:tr>
        <w:trPr>
          <w:trHeight w:val="499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framePr w:w="3514" w:h="4757" w:wrap="none" w:vAnchor="text" w:hAnchor="page" w:x="4401" w:y="2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left"/>
              <w:rPr>
                <w:sz w:val="10"/>
                <w:szCs w:val="10"/>
              </w:rPr>
            </w:pPr>
            <w:r>
              <w:rPr>
                <w:rFonts w:ascii="Georgia" w:eastAsia="Georgia" w:hAnsi="Georgia" w:cs="Georgia"/>
                <w:color w:val="242424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ru-RU" w:eastAsia="ru-RU" w:bidi="ru-RU"/>
              </w:rPr>
              <w:t>Подлинник электронного документа, подписанного</w:t>
            </w:r>
          </w:p>
          <w:p>
            <w:pPr>
              <w:pStyle w:val="Style20"/>
              <w:keepNext w:val="0"/>
              <w:keepLines w:val="0"/>
              <w:framePr w:w="3514" w:h="4757" w:wrap="none" w:vAnchor="text" w:hAnchor="page" w:x="4401" w:y="260"/>
              <w:widowControl w:val="0"/>
              <w:shd w:val="clear" w:color="auto" w:fill="auto"/>
              <w:tabs>
                <w:tab w:pos="57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Fonts w:ascii="Georgia" w:eastAsia="Georgia" w:hAnsi="Georgia" w:cs="Georgia"/>
                <w:color w:val="242424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ru-RU" w:eastAsia="ru-RU" w:bidi="ru-RU"/>
              </w:rPr>
              <w:t>’Иг&amp;рР</w:t>
              <w:tab/>
            </w:r>
            <w:r>
              <w:rPr>
                <w:rFonts w:ascii="Georgia" w:eastAsia="Georgia" w:hAnsi="Georgia" w:cs="Georgia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ru-RU" w:eastAsia="ru-RU" w:bidi="ru-RU"/>
              </w:rPr>
              <w:t xml:space="preserve">ЭП, </w:t>
            </w:r>
            <w:r>
              <w:rPr>
                <w:rFonts w:ascii="Georgia" w:eastAsia="Georgia" w:hAnsi="Georgia" w:cs="Georgia"/>
                <w:color w:val="242424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ru-RU" w:eastAsia="ru-RU" w:bidi="ru-RU"/>
              </w:rPr>
              <w:t>хранится в системе электронного</w:t>
            </w:r>
          </w:p>
          <w:p>
            <w:pPr>
              <w:pStyle w:val="Style20"/>
              <w:keepNext w:val="0"/>
              <w:keepLines w:val="0"/>
              <w:framePr w:w="3514" w:h="4757" w:wrap="none" w:vAnchor="text" w:hAnchor="page" w:x="4401" w:y="260"/>
              <w:widowControl w:val="0"/>
              <w:shd w:val="clear" w:color="auto" w:fill="auto"/>
              <w:tabs>
                <w:tab w:pos="660" w:val="left"/>
              </w:tabs>
              <w:bidi w:val="0"/>
              <w:spacing w:before="0" w:after="0" w:line="240" w:lineRule="auto"/>
              <w:ind w:left="0" w:right="0" w:firstLine="180"/>
              <w:jc w:val="left"/>
              <w:rPr>
                <w:sz w:val="10"/>
                <w:szCs w:val="10"/>
              </w:rPr>
            </w:pPr>
            <w:r>
              <w:rPr>
                <w:rFonts w:ascii="Georgia" w:eastAsia="Georgia" w:hAnsi="Georgia" w:cs="Georgia"/>
                <w:color w:val="242424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ru-RU" w:eastAsia="ru-RU" w:bidi="ru-RU"/>
              </w:rPr>
              <w:t>ЗмЁ.</w:t>
              <w:tab/>
              <w:t>документооборота ФАС России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framePr w:w="3514" w:h="4757" w:wrap="none" w:vAnchor="text" w:hAnchor="page" w:x="4401" w:y="26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9" w:hRule="exact"/>
        </w:trPr>
        <w:tc>
          <w:tcPr>
            <w:tcBorders>
              <w:left w:val="single" w:sz="4"/>
            </w:tcBorders>
            <w:shd w:val="clear" w:color="auto" w:fill="000000"/>
            <w:vAlign w:val="top"/>
          </w:tcPr>
          <w:p>
            <w:pPr>
              <w:pStyle w:val="Style20"/>
              <w:keepNext w:val="0"/>
              <w:keepLines w:val="0"/>
              <w:framePr w:w="3514" w:h="4757" w:wrap="none" w:vAnchor="text" w:hAnchor="page" w:x="4401" w:y="260"/>
              <w:widowControl w:val="0"/>
              <w:pBdr>
                <w:top w:val="single" w:sz="0" w:space="0" w:color="000000"/>
                <w:left w:val="single" w:sz="0" w:space="0" w:color="000000"/>
                <w:bottom w:val="single" w:sz="0" w:space="0" w:color="000000"/>
                <w:right w:val="single" w:sz="0" w:space="0" w:color="000000"/>
              </w:pBdr>
              <w:shd w:val="clear" w:color="auto" w:fill="000000"/>
              <w:tabs>
                <w:tab w:pos="754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color w:val="FFFFFF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</w:t>
              <w:tab/>
            </w:r>
            <w:r>
              <w:rPr>
                <w:rFonts w:ascii="Arial" w:eastAsia="Arial" w:hAnsi="Arial" w:cs="Arial"/>
                <w:color w:val="E8E8E8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 xml:space="preserve">СВЕДЕНИЯ О СЕРТИФИКАТЕ </w:t>
            </w:r>
            <w:r>
              <w:rPr>
                <w:rFonts w:ascii="Arial" w:eastAsia="Arial" w:hAnsi="Arial" w:cs="Arial"/>
                <w:color w:val="FFFFFF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ЭП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framePr w:w="3514" w:h="4757" w:wrap="none" w:vAnchor="text" w:hAnchor="page" w:x="4401" w:y="26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29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framePr w:w="3514" w:h="4757" w:wrap="none" w:vAnchor="text" w:hAnchor="page" w:x="4401" w:y="2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color w:val="868686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Кому </w:t>
            </w:r>
            <w:r>
              <w:rPr>
                <w:rFonts w:ascii="Arial" w:eastAsia="Arial" w:hAnsi="Arial" w:cs="Arial"/>
                <w:color w:val="666666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выдан: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Ролдугина Татьяна Николаевна</w:t>
            </w:r>
          </w:p>
          <w:p>
            <w:pPr>
              <w:pStyle w:val="Style20"/>
              <w:keepNext w:val="0"/>
              <w:keepLines w:val="0"/>
              <w:framePr w:w="3514" w:h="4757" w:wrap="none" w:vAnchor="text" w:hAnchor="page" w:x="4401" w:y="2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414141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Сертификат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№ </w:t>
            </w:r>
            <w:r>
              <w:rPr>
                <w:rFonts w:ascii="Arial" w:eastAsia="Arial" w:hAnsi="Arial" w:cs="Arial"/>
                <w:color w:val="414141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00АБА04Е6СБАО8В1 </w:t>
            </w:r>
            <w:r>
              <w:rPr>
                <w:rFonts w:ascii="Arial" w:eastAsia="Arial" w:hAnsi="Arial" w:cs="Arial"/>
                <w:color w:val="242424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В53СВ77С7Б2АС0Б8</w:t>
            </w:r>
            <w:r>
              <w:rPr>
                <w:rFonts w:ascii="Arial" w:eastAsia="Arial" w:hAnsi="Arial" w:cs="Arial"/>
                <w:color w:val="242424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С</w:t>
            </w:r>
          </w:p>
          <w:p>
            <w:pPr>
              <w:pStyle w:val="Style20"/>
              <w:keepNext w:val="0"/>
              <w:keepLines w:val="0"/>
              <w:framePr w:w="3514" w:h="4757" w:wrap="none" w:vAnchor="text" w:hAnchor="page" w:x="4401" w:y="2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414141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Действителен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с </w:t>
            </w:r>
            <w:r>
              <w:rPr>
                <w:rFonts w:ascii="Arial" w:eastAsia="Arial" w:hAnsi="Arial" w:cs="Arial"/>
                <w:color w:val="666666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11.01.2023 </w:t>
            </w:r>
            <w:r>
              <w:rPr>
                <w:rFonts w:ascii="Arial" w:eastAsia="Arial" w:hAnsi="Arial" w:cs="Arial"/>
                <w:color w:val="868686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по </w:t>
            </w:r>
            <w:r>
              <w:rPr>
                <w:rFonts w:ascii="Arial" w:eastAsia="Arial" w:hAnsi="Arial" w:cs="Arial"/>
                <w:color w:val="414141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05.04.2024</w:t>
            </w:r>
          </w:p>
        </w:tc>
      </w:tr>
      <w:tr>
        <w:trPr>
          <w:trHeight w:val="95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framePr w:w="3514" w:h="4757" w:wrap="none" w:vAnchor="text" w:hAnchor="page" w:x="4401" w:y="260"/>
              <w:widowControl w:val="0"/>
              <w:shd w:val="clear" w:color="auto" w:fill="auto"/>
              <w:bidi w:val="0"/>
              <w:spacing w:before="0" w:after="0" w:line="269" w:lineRule="auto"/>
              <w:ind w:left="680" w:right="0" w:firstLine="0"/>
              <w:jc w:val="left"/>
              <w:rPr>
                <w:sz w:val="10"/>
                <w:szCs w:val="10"/>
              </w:rPr>
            </w:pPr>
            <w:r>
              <w:rPr>
                <w:rFonts w:ascii="Georgia" w:eastAsia="Georgia" w:hAnsi="Georgia" w:cs="Georgia"/>
                <w:color w:val="242424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ru-RU" w:eastAsia="ru-RU" w:bidi="ru-RU"/>
              </w:rPr>
              <w:t xml:space="preserve">Подлинник электронного документа, подписанного </w:t>
            </w:r>
            <w:r>
              <w:rPr>
                <w:rFonts w:ascii="Georgia" w:eastAsia="Georgia" w:hAnsi="Georgia" w:cs="Georgia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ru-RU" w:eastAsia="ru-RU" w:bidi="ru-RU"/>
              </w:rPr>
              <w:t xml:space="preserve">ЭП, </w:t>
            </w:r>
            <w:r>
              <w:rPr>
                <w:rFonts w:ascii="Georgia" w:eastAsia="Georgia" w:hAnsi="Georgia" w:cs="Georgia"/>
                <w:color w:val="242424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ru-RU" w:eastAsia="ru-RU" w:bidi="ru-RU"/>
              </w:rPr>
              <w:t>хранится в системе электронного документооборота ФАС России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framePr w:w="3514" w:h="4757" w:wrap="none" w:vAnchor="text" w:hAnchor="page" w:x="4401" w:y="26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5" w:hRule="exact"/>
        </w:trPr>
        <w:tc>
          <w:tcPr>
            <w:tcBorders>
              <w:left w:val="single" w:sz="4"/>
            </w:tcBorders>
            <w:shd w:val="clear" w:color="auto" w:fill="000000"/>
            <w:vAlign w:val="top"/>
          </w:tcPr>
          <w:p>
            <w:pPr>
              <w:pStyle w:val="Style20"/>
              <w:keepNext w:val="0"/>
              <w:keepLines w:val="0"/>
              <w:framePr w:w="3514" w:h="4757" w:wrap="none" w:vAnchor="text" w:hAnchor="page" w:x="4401" w:y="260"/>
              <w:widowControl w:val="0"/>
              <w:pBdr>
                <w:top w:val="single" w:sz="0" w:space="0" w:color="000000"/>
                <w:left w:val="single" w:sz="0" w:space="0" w:color="000000"/>
                <w:bottom w:val="single" w:sz="0" w:space="0" w:color="000000"/>
                <w:right w:val="single" w:sz="0" w:space="0" w:color="000000"/>
              </w:pBdr>
              <w:shd w:val="clear" w:color="auto" w:fill="000000"/>
              <w:tabs>
                <w:tab w:pos="754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color w:val="FFFFFF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</w:t>
              <w:tab/>
            </w:r>
            <w:r>
              <w:rPr>
                <w:rFonts w:ascii="Arial" w:eastAsia="Arial" w:hAnsi="Arial" w:cs="Arial"/>
                <w:color w:val="E8E8E8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 xml:space="preserve">СВЕДЕНИЯ </w:t>
            </w:r>
            <w:r>
              <w:rPr>
                <w:rFonts w:ascii="Arial" w:eastAsia="Arial" w:hAnsi="Arial" w:cs="Arial"/>
                <w:color w:val="FFFFFF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 xml:space="preserve">О </w:t>
            </w:r>
            <w:r>
              <w:rPr>
                <w:rFonts w:ascii="Arial" w:eastAsia="Arial" w:hAnsi="Arial" w:cs="Arial"/>
                <w:color w:val="E8E8E8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СЕРТИФИКАТЕ ЭП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framePr w:w="3514" w:h="4757" w:wrap="none" w:vAnchor="text" w:hAnchor="page" w:x="4401" w:y="26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94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framePr w:w="3514" w:h="4757" w:wrap="none" w:vAnchor="text" w:hAnchor="page" w:x="4401" w:y="260"/>
              <w:widowControl w:val="0"/>
              <w:shd w:val="clear" w:color="auto" w:fill="auto"/>
              <w:bidi w:val="0"/>
              <w:spacing w:before="0" w:after="0" w:line="218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color w:val="868686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Кому </w:t>
            </w:r>
            <w:r>
              <w:rPr>
                <w:rFonts w:ascii="Arial" w:eastAsia="Arial" w:hAnsi="Arial" w:cs="Arial"/>
                <w:color w:val="666666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выдан: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Кажушко Светлана Сергеевна</w:t>
            </w:r>
          </w:p>
          <w:p>
            <w:pPr>
              <w:pStyle w:val="Style20"/>
              <w:keepNext w:val="0"/>
              <w:keepLines w:val="0"/>
              <w:framePr w:w="3514" w:h="4757" w:wrap="none" w:vAnchor="text" w:hAnchor="page" w:x="4401" w:y="260"/>
              <w:widowControl w:val="0"/>
              <w:shd w:val="clear" w:color="auto" w:fill="auto"/>
              <w:bidi w:val="0"/>
              <w:spacing w:before="0" w:after="0" w:line="218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414141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Сертификат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№ </w:t>
            </w:r>
            <w:r>
              <w:rPr>
                <w:rFonts w:ascii="Arial" w:eastAsia="Arial" w:hAnsi="Arial" w:cs="Arial"/>
                <w:color w:val="414141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140975008Е01СЕ086Е280850ЕА906274</w:t>
            </w:r>
          </w:p>
          <w:p>
            <w:pPr>
              <w:pStyle w:val="Style20"/>
              <w:keepNext w:val="0"/>
              <w:keepLines w:val="0"/>
              <w:framePr w:w="3514" w:h="4757" w:wrap="none" w:vAnchor="text" w:hAnchor="page" w:x="4401" w:y="260"/>
              <w:widowControl w:val="0"/>
              <w:shd w:val="clear" w:color="auto" w:fill="auto"/>
              <w:bidi w:val="0"/>
              <w:spacing w:before="0" w:after="540" w:line="218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666666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Действителен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с </w:t>
            </w:r>
            <w:r>
              <w:rPr>
                <w:rFonts w:ascii="Arial" w:eastAsia="Arial" w:hAnsi="Arial" w:cs="Arial"/>
                <w:color w:val="666666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18.11.2022 </w:t>
            </w:r>
            <w:r>
              <w:rPr>
                <w:rFonts w:ascii="Arial" w:eastAsia="Arial" w:hAnsi="Arial" w:cs="Arial"/>
                <w:color w:val="868686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по </w:t>
            </w:r>
            <w:r>
              <w:rPr>
                <w:rFonts w:ascii="Arial" w:eastAsia="Arial" w:hAnsi="Arial" w:cs="Arial"/>
                <w:color w:val="666666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11.02.2024</w:t>
            </w:r>
          </w:p>
          <w:p>
            <w:pPr>
              <w:pStyle w:val="Style20"/>
              <w:keepNext w:val="0"/>
              <w:keepLines w:val="0"/>
              <w:framePr w:w="3514" w:h="4757" w:wrap="none" w:vAnchor="text" w:hAnchor="page" w:x="4401" w:y="260"/>
              <w:widowControl w:val="0"/>
              <w:shd w:val="clear" w:color="auto" w:fill="auto"/>
              <w:bidi w:val="0"/>
              <w:spacing w:before="0" w:after="0" w:line="264" w:lineRule="auto"/>
              <w:ind w:left="680" w:right="0" w:firstLine="0"/>
              <w:jc w:val="left"/>
              <w:rPr>
                <w:sz w:val="10"/>
                <w:szCs w:val="10"/>
              </w:rPr>
            </w:pPr>
            <w:r>
              <w:rPr>
                <w:rFonts w:ascii="Georgia" w:eastAsia="Georgia" w:hAnsi="Georgia" w:cs="Georgia"/>
                <w:color w:val="242424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ru-RU" w:eastAsia="ru-RU" w:bidi="ru-RU"/>
              </w:rPr>
              <w:t xml:space="preserve">Подлинник электронного документа, подписанного </w:t>
            </w:r>
            <w:r>
              <w:rPr>
                <w:rFonts w:ascii="Georgia" w:eastAsia="Georgia" w:hAnsi="Georgia" w:cs="Georgia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ru-RU" w:eastAsia="ru-RU" w:bidi="ru-RU"/>
              </w:rPr>
              <w:t xml:space="preserve">ЭП, </w:t>
            </w:r>
            <w:r>
              <w:rPr>
                <w:rFonts w:ascii="Georgia" w:eastAsia="Georgia" w:hAnsi="Georgia" w:cs="Georgia"/>
                <w:color w:val="242424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ru-RU" w:eastAsia="ru-RU" w:bidi="ru-RU"/>
              </w:rPr>
              <w:t>хранится в системе электронного документооборота ФАС России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framePr w:w="3514" w:h="4757" w:wrap="none" w:vAnchor="text" w:hAnchor="page" w:x="4401" w:y="26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5" w:hRule="exact"/>
        </w:trPr>
        <w:tc>
          <w:tcPr>
            <w:tcBorders>
              <w:left w:val="single" w:sz="4"/>
            </w:tcBorders>
            <w:shd w:val="clear" w:color="auto" w:fill="000000"/>
            <w:vAlign w:val="top"/>
          </w:tcPr>
          <w:p>
            <w:pPr>
              <w:pStyle w:val="Style20"/>
              <w:keepNext w:val="0"/>
              <w:keepLines w:val="0"/>
              <w:framePr w:w="3514" w:h="4757" w:wrap="none" w:vAnchor="text" w:hAnchor="page" w:x="4401" w:y="260"/>
              <w:widowControl w:val="0"/>
              <w:pBdr>
                <w:top w:val="single" w:sz="0" w:space="0" w:color="000000"/>
                <w:left w:val="single" w:sz="0" w:space="0" w:color="000000"/>
                <w:bottom w:val="single" w:sz="0" w:space="0" w:color="000000"/>
                <w:right w:val="single" w:sz="0" w:space="0" w:color="000000"/>
              </w:pBdr>
              <w:shd w:val="clear" w:color="auto" w:fill="000000"/>
              <w:tabs>
                <w:tab w:pos="754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color w:val="FFFFFF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</w:t>
              <w:tab/>
            </w:r>
            <w:r>
              <w:rPr>
                <w:rFonts w:ascii="Arial" w:eastAsia="Arial" w:hAnsi="Arial" w:cs="Arial"/>
                <w:color w:val="E8E8E8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 xml:space="preserve">СВЕДЕНИЯ </w:t>
            </w:r>
            <w:r>
              <w:rPr>
                <w:rFonts w:ascii="Arial" w:eastAsia="Arial" w:hAnsi="Arial" w:cs="Arial"/>
                <w:color w:val="FFFFFF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 xml:space="preserve">О </w:t>
            </w:r>
            <w:r>
              <w:rPr>
                <w:rFonts w:ascii="Arial" w:eastAsia="Arial" w:hAnsi="Arial" w:cs="Arial"/>
                <w:color w:val="E8E8E8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 xml:space="preserve">СЕРТИФИКАТЕ </w:t>
            </w:r>
            <w:r>
              <w:rPr>
                <w:rFonts w:ascii="Arial" w:eastAsia="Arial" w:hAnsi="Arial" w:cs="Arial"/>
                <w:color w:val="FFFFFF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ЭП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framePr w:w="3514" w:h="4757" w:wrap="none" w:vAnchor="text" w:hAnchor="page" w:x="4401" w:y="26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82" w:hRule="exact"/>
        </w:trPr>
        <w:tc>
          <w:tcPr>
            <w:gridSpan w:val="2"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framePr w:w="3514" w:h="4757" w:wrap="none" w:vAnchor="text" w:hAnchor="page" w:x="4401" w:y="26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color w:val="666666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Кому выдан: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Кудрявцева Дарина Евгеньевна</w:t>
            </w:r>
          </w:p>
          <w:p>
            <w:pPr>
              <w:pStyle w:val="Style20"/>
              <w:keepNext w:val="0"/>
              <w:keepLines w:val="0"/>
              <w:framePr w:w="3514" w:h="4757" w:wrap="none" w:vAnchor="text" w:hAnchor="page" w:x="4401" w:y="26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414141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Сертификат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№ </w:t>
            </w:r>
            <w:r>
              <w:rPr>
                <w:rFonts w:ascii="Arial" w:eastAsia="Arial" w:hAnsi="Arial" w:cs="Arial"/>
                <w:color w:val="414141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00В725П8388О743ОЕВСА993Е0В503А2В4</w:t>
            </w:r>
            <w:r>
              <w:rPr>
                <w:rFonts w:ascii="Arial" w:eastAsia="Arial" w:hAnsi="Arial" w:cs="Arial"/>
                <w:color w:val="414141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0 </w:t>
            </w:r>
            <w:r>
              <w:rPr>
                <w:rFonts w:ascii="Arial" w:eastAsia="Arial" w:hAnsi="Arial" w:cs="Arial"/>
                <w:color w:val="666666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Действителен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с </w:t>
            </w:r>
            <w:r>
              <w:rPr>
                <w:rFonts w:ascii="Arial" w:eastAsia="Arial" w:hAnsi="Arial" w:cs="Arial"/>
                <w:color w:val="666666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18.07.2023 по 10.10.2024</w:t>
            </w:r>
          </w:p>
          <w:p>
            <w:pPr>
              <w:pStyle w:val="Style20"/>
              <w:keepNext w:val="0"/>
              <w:keepLines w:val="0"/>
              <w:framePr w:w="3514" w:h="4757" w:wrap="none" w:vAnchor="text" w:hAnchor="page" w:x="4401" w:y="260"/>
              <w:widowControl w:val="0"/>
              <w:shd w:val="clear" w:color="auto" w:fill="auto"/>
              <w:tabs>
                <w:tab w:leader="underscore" w:pos="3442" w:val="left"/>
              </w:tabs>
              <w:bidi w:val="0"/>
              <w:spacing w:before="0" w:after="0" w:line="226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,</w:t>
              <w:tab/>
              <w:t>.</w:t>
            </w:r>
          </w:p>
        </w:tc>
      </w:tr>
    </w:tbl>
    <w:p>
      <w:pPr>
        <w:framePr w:w="3514" w:h="4757" w:wrap="none" w:vAnchor="text" w:hAnchor="page" w:x="4401" w:y="260"/>
        <w:widowControl w:val="0"/>
        <w:spacing w:line="1" w:lineRule="exact"/>
      </w:pPr>
    </w:p>
    <w:p>
      <w:pPr>
        <w:pStyle w:val="Style10"/>
        <w:keepNext w:val="0"/>
        <w:keepLines w:val="0"/>
        <w:framePr w:w="1848" w:h="398" w:wrap="none" w:vAnchor="text" w:hAnchor="page" w:x="948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Т.Н. Ролдугина</w:t>
      </w:r>
    </w:p>
    <w:p>
      <w:pPr>
        <w:pStyle w:val="Style10"/>
        <w:keepNext w:val="0"/>
        <w:keepLines w:val="0"/>
        <w:framePr w:w="1738" w:h="398" w:wrap="none" w:vAnchor="text" w:hAnchor="page" w:x="9580" w:y="17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С.С. Кажушко</w:t>
      </w:r>
    </w:p>
    <w:p>
      <w:pPr>
        <w:pStyle w:val="Style10"/>
        <w:keepNext w:val="0"/>
        <w:keepLines w:val="0"/>
        <w:framePr w:w="1978" w:h="394" w:wrap="none" w:vAnchor="text" w:hAnchor="page" w:x="9350" w:y="34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Д.Е. Кудрявцева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95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6" w:bottom="967" w:left="11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10016490</wp:posOffset>
              </wp:positionV>
              <wp:extent cx="713105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2023-11148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950000000000003pt;margin-top:788.70000000000005pt;width:56.1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2023-11148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9857740</wp:posOffset>
              </wp:positionV>
              <wp:extent cx="713105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2023-11148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050000000000004pt;margin-top:776.20000000000005pt;width:56.1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2023-11148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4)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color w:val="4460A3"/>
      <w:sz w:val="14"/>
      <w:szCs w:val="14"/>
      <w:u w:val="single"/>
    </w:rPr>
  </w:style>
  <w:style w:type="character" w:customStyle="1" w:styleId="CharStyle5">
    <w:name w:val="Основной текст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6"/>
      <w:szCs w:val="16"/>
      <w:u w:val="none"/>
    </w:rPr>
  </w:style>
  <w:style w:type="character" w:customStyle="1" w:styleId="CharStyle8">
    <w:name w:val="Основной текст (3)_"/>
    <w:basedOn w:val="DefaultParagraphFont"/>
    <w:link w:val="Styl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3"/>
      <w:sz w:val="19"/>
      <w:szCs w:val="19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Колонтитул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21">
    <w:name w:val="Другое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Основной текст (4)"/>
    <w:basedOn w:val="Normal"/>
    <w:link w:val="CharStyle3"/>
    <w:pPr>
      <w:widowControl w:val="0"/>
      <w:shd w:val="clear" w:color="auto" w:fill="auto"/>
      <w:spacing w:after="32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60A3"/>
      <w:sz w:val="14"/>
      <w:szCs w:val="14"/>
      <w:u w:val="single"/>
    </w:rPr>
  </w:style>
  <w:style w:type="paragraph" w:customStyle="1" w:styleId="Style4">
    <w:name w:val="Основной текст (2)"/>
    <w:basedOn w:val="Normal"/>
    <w:link w:val="CharStyle5"/>
    <w:pPr>
      <w:widowControl w:val="0"/>
      <w:shd w:val="clear" w:color="auto" w:fill="auto"/>
      <w:spacing w:after="60"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6"/>
      <w:szCs w:val="16"/>
      <w:u w:val="none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auto"/>
      <w:spacing w:after="42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3"/>
      <w:sz w:val="19"/>
      <w:szCs w:val="19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Колонтитул (2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0">
    <w:name w:val="Другое"/>
    <w:basedOn w:val="Normal"/>
    <w:link w:val="CharStyle2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/Relationships>
</file>