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Республике Хакасия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Вяткина, 3, г. Абакан, 655017</w:t>
        <w:br/>
        <w:t>тел. (3902) 22-27-59, факс (3902) 22-62-55</w:t>
        <w:br/>
        <w:t>е-таП: 1о19@Га8.§оу.ги</w:t>
      </w:r>
    </w:p>
    <w:p>
      <w:pPr>
        <w:pStyle w:val="Style10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19.12,2023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ОШ/11105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/23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20" w:line="254" w:lineRule="auto"/>
        <w:ind w:left="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Заявителю — ООО «Людвиг» </w:t>
      </w: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655014, Республика Хакасия, г. Абакан, ул. Героя России Лелюха, дом. 12А УиНШ 123 @шаП. ги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Субъектам контроля: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Уполномоченному органу - Комитету муниципальной экономики администрации города Абакана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655017, Республика Хакасия, г. Абакан, ул. Щетинкина, 10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969" w:bottom="1250" w:left="1140" w:header="0" w:footer="3" w:gutter="0"/>
          <w:pgNumType w:start="1"/>
          <w:cols w:num="2" w:space="739"/>
          <w:noEndnote/>
          <w:titlePg/>
          <w:rtlGutter w:val="0"/>
          <w:docGrid w:linePitch="360"/>
        </w:sectPr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хаках 19@таП.ги; кте_аЬакап@таП.ги</w:t>
      </w:r>
    </w:p>
    <w:p>
      <w:pPr>
        <w:widowControl w:val="0"/>
        <w:spacing w:line="126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47" w:right="0" w:bottom="78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124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766445</wp:posOffset>
                </wp:positionH>
                <wp:positionV relativeFrom="paragraph">
                  <wp:posOffset>114300</wp:posOffset>
                </wp:positionV>
                <wp:extent cx="2395855" cy="152400"/>
                <wp:wrapSquare wrapText="right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9585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Решение по жалобе №019/06/106-1311/2023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60.350000000000001pt;margin-top:9.pt;width:188.65000000000001pt;height:12.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Решение по жалобе №019/06/106-1311/2023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Муниципальному заказчику -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5300" w:right="0" w:hanging="40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Управлению коммунального хозяйства и транспорта Администрации города Абакана и его комиссии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0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655017, Республика Хакасия, г.Абакан, ул.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0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М.Жукова, 7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530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пкЫ@г-19.ги, икЫ-аЬакап@шаИ.ги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20" w:line="262" w:lineRule="auto"/>
        <w:ind w:left="53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- АО «Сбербанк-АСТ» ко@8ЬегЬапк-аз1.ги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600" w:line="262" w:lineRule="auto"/>
        <w:ind w:left="53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№ 0180300000223000523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98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  <w:t>по жалобе № 019/06/106-1311/2023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9058" w:val="left"/>
        </w:tabs>
        <w:bidi w:val="0"/>
        <w:spacing w:before="0" w:after="440" w:line="29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«14» декабря 2023 года</w:t>
        <w:tab/>
        <w:t>г. Абакан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/>
        <w:ind w:left="115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Хакасия по контролю закупок (далее - Комиссия) в составе:</w:t>
      </w:r>
    </w:p>
    <w:tbl>
      <w:tblPr>
        <w:tblOverlap w:val="never"/>
        <w:jc w:val="center"/>
        <w:tblLayout w:type="fixed"/>
      </w:tblPr>
      <w:tblGrid>
        <w:gridCol w:w="3014"/>
        <w:gridCol w:w="7339"/>
      </w:tblGrid>
      <w:tr>
        <w:trPr>
          <w:trHeight w:val="350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Председателя комиссии: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Широковой О.В., врио руководителя управления,</w:t>
            </w:r>
          </w:p>
        </w:tc>
      </w:tr>
      <w:tr>
        <w:trPr>
          <w:trHeight w:val="1790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Членов комиссии: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Лунёвой А.В., начальника отдела контроля закупок и антимонопольного контроля органов власти, Сизова К.А., главного специалиста - эксперта отдела контроля закупок и антимонопольного контроля органов власти,</w:t>
            </w:r>
          </w:p>
        </w:tc>
      </w:tr>
    </w:tbl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widowControl w:val="0"/>
        <w:spacing w:after="439" w:line="1" w:lineRule="exact"/>
      </w:pPr>
    </w:p>
    <w:p>
      <w:pPr>
        <w:pStyle w:val="Style3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2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муниципального Заказчика —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Управления коммунального хозяйства и транспорта Администрации города Абакана (далее - Заказчик, УКХТ Абакана):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3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на основании доверенности № б/н от 09.01.2023,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уполномоченного органа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- Комитета муниципальной экономики администрации города Абакана (далее — КМЭ Абакана, Уполномоченный орган):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доверенности № 419 от 09.03.2023,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Общества с ограниченной ответственностью «Людвиг» (далее - Заявитель, Общество, ООО «Людвиг»):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0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на основании доверенности № б/н от 01.02.2023,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посредством видеоконференцсвязи жалобу ООО «Людвиг» на действия Заказчика при проведении электронного аукциона на оказание услуг по транспортировке умерших в морг (извещение № 0180300000223000523) (далее - Аукцион), и в результате осуществления внеплановой проверки в соответствии с пунктом 1 части 15 статьи 99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9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Хакасское УФАС России посредством ЕИС 07.12.2023 поступила жалоба Заявителя (вх. № 11879/23 от 08.12.2023) на действия Заказчика при проведении Аукциона.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9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считает, что его права и законные интересы нарушены действиями Заказчика: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5" w:val="left"/>
        </w:tabs>
        <w:bidi w:val="0"/>
        <w:spacing w:before="0" w:after="0" w:line="29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установившем в Извещении обеспечение исполнения контракта в сумме 74,25 руб., при этом, при подаче заявки на платформе «Сбербанк АСТ», в карточке закупки отражены сведения об отсутствии требований по внесению обеспечения исполнения контракта;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5" w:val="left"/>
        </w:tabs>
        <w:bidi w:val="0"/>
        <w:spacing w:before="0" w:after="0" w:line="29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неправомерно установившем в описании объекта закупки (далее по тексту — ТЗ) требования, указанные в подпунктах 6.15, 6.17, 6.19.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9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рассмотрении жалобы представитель Заявителя поддержал доводы, изложенные в жалобе, и просил признать жалобу обоснованной.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60" w:line="29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Представитель Заказчика, представив в материалы дела письменные пояснения, запрашиваемые документы (вх. № 11043-ЭП/23 от 11.12.2023), не согласился с доводами жалобы.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9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Представитель уполномоченного органа поддержал позицию Заказчика.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9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работе Комиссии был объявлен перерыв до 14:30 14.12.2023.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60" w:line="29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После объявленного перерыва от Заказчика поступили дополнительные документы (вх. № 12132-ЭП/23 от 14.12.2023).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изменением извещения об осуществлении закупки (далее - Извещение), электронными документами к нему, протоколами, составленными при определении поставщика (подрядчика, исполнителя):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31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об осуществлении закупки размещено в ЕИС - 01.12.2023;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55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- 1 485,00 рублей;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50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способ определения поставщика (подрядчика, исполнителя) - Аукцион;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55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и время окончания срока подачи заявок 11.12.2023 08:00;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56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проведения процедуры подачи предложений о цене контракта либо о сумме цен единиц товара, работы, услуги 11.12.2023;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37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подведения итогов определения поставщика (подрядчика, исполнителя) 12.12.2023;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66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Протоколом подачи ценовых предложений от 11.12.2023 №ЦПА1 ценовые предложения подали 6 (шесть) участников, лучшее ценовое предложение поступило от участника с идентификационным номером заявки 47 — 9 900 000,00 руб. (повышение);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38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12.12.2023 №ИЭА1 заявки всех участников Аукциона были признаны соответствующими требованиям Извещения. По результатам подведения итогов определения поставщика (подрядчика, исполнителя) победителем электронного аукциона признан участник закупки с идентификационным номером заявки - 47, заявка на участие в закупке которого соответствует требованиям, установленным в извещении об осуществлении закупки, с предложением за право заключения контракта 9 900 000,00 руб.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50" w:val="left"/>
        </w:tabs>
        <w:bidi w:val="0"/>
        <w:spacing w:before="0" w:after="36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момент рассмотрения жалобы контракт не подписан.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98" w:lineRule="auto"/>
        <w:ind w:left="0" w:right="0" w:firstLine="5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первому доводу жалобы Комиссия приходит к следующему.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98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17 части 1 статьи 42 Закона о контрактной системе установлено, что при осуществлении закупки путем проведения открытых конкурентных способов заказчик формирует с использованием единой информационной системы,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размер обеспечения исполнения контракта, гарантийных обязательств, порядок предоставления такого обеспечения, требования к такому обеспечению (если требование обеспечения исполнения контракта, гарантийных обязательств установлено в соответствии со статьей 96 настоящего Федерального закона.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98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1 статьи 96 Закона о контрактной системе Заказчиком, за исключением случаев, предусмотренных частью 2 настоящей статьи, в извещении об осуществлении закупки, документации о закупке, проекте контракта, приглашении должно быть установлено требование обеспечения исполнения контракта.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98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Извещении Заказчиком указано в том числе следующее: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«Обеспечение заявки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Обеспечение заявок не требуется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Обеспечение исполнения контракта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Требуется обеспечение исполнения контракта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Размер обеспечения исполнения контракта - 74.25 Российский рубль».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98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Также, в соответствии с требованиями части 1 статьи 96 Закона о контрактной системе в пункте 12.2 проекта контракта установлено в том числе: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«В соответствии с положениями документации об электронном аукционе, Заказчик установил требование обеспечения исполнения Контракта в размере 74 (семьдесят четыре) рубля 25 коп.».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98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проанализировав в полном объеме Извещение, установила, что Заказчиком информация об обеспечении исполнения контракта установлена в соответствии с требованиями Закона о контрактной системе.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98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Сссылка Заявителя, что на платформе «Сбербанк АСТ» в карточке закупки отражены сведения об отсутствии требований по внесению обеспечения исполнения контракта является несостоятельной, поскольку на электронной торговой площадке «Сбербанк АСТ» указано об отсутствии требований по обеспечению заявки — 0,00 руб.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98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на рассмотрении жалобы представитель Заявителя представил платежное поручение № 8 от 08.12.2023 на сумму 74,25 руб., подтверждающее перечисление денежных средств в качестве обеспечения исполнения контракта.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98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обращает внимание Заявителя на следующее.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98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положениями пункта 1 части 3 статьи 51 Закона о контрактной системе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не позднее пяти рабочих дней, следующих за днем размещения заказчиком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в соответствии с частью 2 настоящей статьи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проекта контракта, участник закупки, с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которым заключается контракт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подписывает усиленной электронной подписью лица, имеющего право действовать от имени участника закупки, проект контракта и одновременно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размешает на электронной площадке и в единой информационной системе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(с использованием электронной площадки, без размещения на официальном сайте)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подписанный проект контракта,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а также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документ, подтверждающий предоставление обеспечения исполнения контракта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в соответствии с настоящим Федеральным законом.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обеспечение исполнения контракта перечисляется участником закупки на счет Заказчика при подписании контракта, а не до окончания срока подачи заявок.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Довод жалобы не обоснован.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второму доводу жалобы Комиссия приходит к следующим выводам.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1 части 2 статьи 42 Закона о контрактной системе установлено, что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пункта 1 части 1 статьи 33 Закона о контрактной системе заказчик в случаях, предусмотренных настоящим Федеральным законом, при описании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Частью 3 статьи 33 Закона о контрактной системе установлено, что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 допускается включение в описание объекта закупки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настоящим Федеральным законом.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98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1. Заказчиком в пункте 6 ТЗ указаны «Требования к оказанию услуг», в том числе подпункт 6.15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«Транспортное средство должно быть оснащено сертифицированной работоспособной аппаратурой спутниковой навигации и слежения с ретрансляцией данных Заказчику. Исполнитель обязан до заключения контракта предоставить доступ к таким данным. Доступ к данным предоставляется до окончания исполнения Контракта. Информация о месте нахождения бригады в период с 01.01.2024 по 31.12.2024 должна храниться в базах данных Подрядчика не менее одного года с момента окончания исполнения контракта с предоставлением доступа к таким данным Заказчику».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98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вышеуказанное требование предъявляется к транспортному средству Исполнителя, что в свою очередь, противоречит положениям части 3 статьи 33 Закона о контрактной системе, поскольку предъявление требований к наличию у участника закупки производственных мощностей, необходимых для оказания услуги, являющихся предметом контракта, является незаконным.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98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также отмечает, что на рассмотрении жалобы представитель Заказчика пояснил, что эти требования обусловлены потребностью Заказчика в выполнении качественной услуги Исполнителем. Заказчиком не приведено ссылок на нормативно-правовые акты, которые регламентировали бы возможность или обязанность установления спорных требований.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60" w:line="298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действия Заказчика, установившего в подпункте 6.15 ТЗ требования к наличию у участника закупки производственных мощностей, необходимых для оказания услуги, являющихся предметом контракта, являются нарушением пункта 1 части 2 статьи 42 и части 3 статьи 33 Закона о контрактной системе, что содержит признаки состава административного правонарушения, ответственность за которое предусмотрена частью 1.4 статьи 7.30 КоАП РФ.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312" w:lineRule="auto"/>
        <w:ind w:left="0" w:right="0" w:firstLine="58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2. Заказчиком в пункте 6 ТЗ указаны «Требования к оказанию услуг», в том числе подпункт 6.17 </w:t>
      </w:r>
      <w:r>
        <w:rPr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«В течение 2 часов с момента поступления заявки дежурному диспетчеру, бригада должна: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88" w:val="left"/>
        </w:tabs>
        <w:bidi w:val="0"/>
        <w:spacing w:before="0" w:after="0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прибыть по адресу, указанному в заявке,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42" w:val="left"/>
        </w:tabs>
        <w:bidi w:val="0"/>
        <w:spacing w:before="0" w:after="0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ознакомиться с направлением на патологоанатомическое вскрытие в патологоанатомическое отделение либо направление тел граждан умерших вне медицинских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организаций без признаков насильственной смерти в патологоанатомическое отделение (далее - направление);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02" w:val="left"/>
        </w:tabs>
        <w:bidi w:val="0"/>
        <w:spacing w:before="0" w:after="0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заполнить наряд-заказ;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02" w:val="left"/>
        </w:tabs>
        <w:bidi w:val="0"/>
        <w:spacing w:before="0" w:after="0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упаковать тело умершего (погибшего) в одноразовый патологоанатомический мешок;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99" w:val="left"/>
        </w:tabs>
        <w:bidi w:val="0"/>
        <w:spacing w:before="0" w:after="0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прикрепить к патологоанатомическому мешку бирку с фамилией, именем, отчеством (при наличии) умершего, а также адрес места нахождения трупа (в случае если личность трупа неустановленна на бирке указывается «неизвестный» ориентир местоположения места происшествия),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производится фопюфиксация упакованного трупа с информацией на бирке;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99" w:val="left"/>
        </w:tabs>
        <w:bidi w:val="0"/>
        <w:spacing w:before="0" w:after="0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уложить тело умершего (погибшего) на носилки лицом вверх, закрепить тело умершего на носилки транспортировочными ремнями,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произвести фотофиксацию;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99" w:val="left"/>
        </w:tabs>
        <w:bidi w:val="0"/>
        <w:spacing w:before="0" w:after="0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перенести тело умершего (погибшего) с места нахождения трупа к транспортному средству, произвести фотофиксацию такого действия с фиксацией государственного номера транспортного средства, на котором производится перевозка;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07" w:val="left"/>
        </w:tabs>
        <w:bidi w:val="0"/>
        <w:spacing w:before="0" w:after="0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произвести погрузку тела умершего (погибшего) в транспортное средство;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99" w:val="left"/>
        </w:tabs>
        <w:bidi w:val="0"/>
        <w:spacing w:before="0" w:after="0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доставить тело умершего (погибшего) в медицинскую организацию, указанную в направлении, которое выдается сотрудником полиции или медицинским работником;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17" w:val="left"/>
        </w:tabs>
        <w:bidi w:val="0"/>
        <w:spacing w:before="0" w:after="0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выгрузить тело умершего (погибшего) и уложить его на носилки-каталку;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И) передать тело умершего (погибшего) сотруднику морга;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92" w:val="left"/>
        </w:tabs>
        <w:bidi w:val="0"/>
        <w:spacing w:before="0" w:after="0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заполнить акт приема-передачи тела умершего (погибшего) и вещей умершего сотруднику морга, подписать такой акт сотрудником моргам, принявшим тело и вещи, а также представителем Исполнителя.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92" w:val="left"/>
        </w:tabs>
        <w:bidi w:val="0"/>
        <w:spacing w:before="0" w:after="0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сообщить дежурному диспетчеру об окончании исполнения услуги, о чем дежурный диспетчер должен сделать отметку в журнале».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пунктов 1 — 6 статьи 3 Федерального закона от 27.07.2006 № 152-ФЗ «О персональных данных» в целях настоящего Федерального закона используются следующие основные понятия:</w:t>
      </w:r>
    </w:p>
    <w:p>
      <w:pPr>
        <w:pStyle w:val="Style1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32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персональные данные - любая информация, относящаяся к прямо или косвенно определенному или определяемому физическому лицу (субъекту персональных данных);</w:t>
      </w:r>
    </w:p>
    <w:p>
      <w:pPr>
        <w:pStyle w:val="Style18"/>
        <w:keepNext w:val="0"/>
        <w:keepLines w:val="0"/>
        <w:widowControl w:val="0"/>
        <w:numPr>
          <w:ilvl w:val="1"/>
          <w:numId w:val="9"/>
        </w:numPr>
        <w:shd w:val="clear" w:color="auto" w:fill="auto"/>
        <w:tabs>
          <w:tab w:pos="1148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персональные данные, разрешенные субъектом персональных данных для распространения, - персональные данные, доступ неограниченного круга лиц к которым предоставлен субъектом персональных данных путем дачи согласия на обработку персональных данных, разрешенных субъектом персональных данных для распространения в порядке, предусмотренном настоящим Федеральным законом;</w:t>
      </w:r>
    </w:p>
    <w:p>
      <w:pPr>
        <w:pStyle w:val="Style1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27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 - государственный орган, муниципальный орган, юридическое или физическое лицо, самостоятельно или совместно с другими лицами организующие и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9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(или) осуществляющие обработку персональных данных, а также определяющие цели обработки персональных данных, состав персональных данных, подлежащих обработке, действия (операции), совершаемые с персональными данными;</w:t>
      </w:r>
    </w:p>
    <w:p>
      <w:pPr>
        <w:pStyle w:val="Style1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74" w:val="left"/>
        </w:tabs>
        <w:bidi w:val="0"/>
        <w:spacing w:before="0" w:after="0" w:line="298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обработка персональных данных -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данных;</w:t>
      </w:r>
    </w:p>
    <w:p>
      <w:pPr>
        <w:pStyle w:val="Style1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74" w:val="left"/>
        </w:tabs>
        <w:bidi w:val="0"/>
        <w:spacing w:before="0" w:after="0" w:line="298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автоматизированная обработка персональных данных - обработка персональных данных с помощью средств вычислительной техники;</w:t>
      </w:r>
    </w:p>
    <w:p>
      <w:pPr>
        <w:pStyle w:val="Style1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74" w:val="left"/>
        </w:tabs>
        <w:bidi w:val="0"/>
        <w:spacing w:before="0" w:after="0" w:line="298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распространение персональных данных - действия, направленные на раскрытие персональных данных неопределенному кругу лиц;</w:t>
      </w:r>
    </w:p>
    <w:p>
      <w:pPr>
        <w:pStyle w:val="Style1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74" w:val="left"/>
        </w:tabs>
        <w:bidi w:val="0"/>
        <w:spacing w:before="0" w:after="0" w:line="298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предоставление персональных данных - действия, направленные на раскрытие персональных данных определенному лицу или определенному кругу лиц.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98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Статьей 7 Федерального закона от 27.07.2006 № 152-ФЗ «О персональных данных» установлено, что операторы и иные лица, получившие доступ к персональным данным, обязаны не раскрывать третьим лицам и не распространять персональные данные без согласия субъекта персональных данных, если иное не предусмотрено федеральным законом.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98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требование Заказчика о проведении фотофиксации, указанное в подпункте 6.17 ТЗ является неправомерным и противоречащим положениям Федерального закона от 27.07.2006 № 152-ФЗ «О персональных данных».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9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в соответствии с частью 1 статьи 152.1 Гражданского кодекса Российской Федерации установлено в том числе, что обнародование и дальнейшее использование изображения гражданина (в том числе его фотографии, а также видеозаписи или произведения изобразительного искусства, в которых он изображен) допускаются только с согласия этого гражданина. После смерти гражданина его изображение может использоваться только с согласия детей и пережившего супруга, а при их отсутствии - с согласия родителей.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98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не соблюдены требования части 3 статьи 33 Закона о контрактной системе и тем самым нарушены положения пункта 1 части 2 статьи 42 Закона о контрактной системе, что свидетельствует о наличии в действиях Заказчика признаков состава административного правонарушения, ответственность за которое предусмотрена частью 1.4 статьи 7.30 КоАП РФ.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338" w:lineRule="auto"/>
        <w:ind w:left="0" w:right="0" w:firstLine="600"/>
        <w:jc w:val="both"/>
      </w:pPr>
      <w:r>
        <w:rPr>
          <w:i w:val="0"/>
          <w:iCs w:val="0"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3. В отношении подпункта 6.19 ТЗ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«Транспортное средство после каждой перевозки тел умерших должно подвергаться дезинфекции, производимой специализированной организацией. Исполнитель до заключения контракта обязан предоставить Заказчику договор дезинфекции со специализированной организацией со сроком действия с 01.01.2024 до 31.12.2024, в котором будет указан адрес оказания такой услуги».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пункта 89 Постановления Главного государственного санитарного врача РФ от 28.01.2021 № 4 «Об утверждении санитарных правил и норм СанПиН 3.3686-21 «Санитарно-эпидемиологические требования по профилактике инфекционных болезней» (вместе с "СанПиН 3.3686-21. Санитарные правила и нормы...") (далее - Постановление) дезинфекционные, дезинсекционные и дератизационные мероприятия на объектах, транспортных средствах, рекреационных территориях населенных пунктов проводятся персоналом организаций, в соответствии с учредительными документами которых одним из видов экономической деятельности является осуществление дезинфекционной, дератизационной и дезинсекционной деятельности.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Подпунктом 1 пункта 131 Постановления предусмотрено, что на транспорте и объектах транспортной инфраструктуры при проведении дезинфекционной деятельности должны выполняться следующие санитарно-эпидемиологические требования дезинфекции подвергаются пассажирский, грузовой, железнодорожный транспорт, включая транспорт, предназначенный для перевозки подозреваемых и обвиняемых и лиц, заключенных под стражу, воздушный транспорт, водный транспорт, автомобильный транспорт, городской наземный электрический транспорт, внеуличный транспорт, в том числе метрополитен, транспорт, предназначенный для перевозки инфекционных больных, транспорт, предназначенный для перевозки пищевых продуктов, а также стационарные объекты транспортной инфраструктуры в соответствии с требованиями санитарных правил СП 2.5.3650-20 "Санитарно- эпидемиологические требования к отдельным видам транспорта и объектам транспортной инфраструктуры".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из изложенного следует, что Исполнитель вправе сам осуществлять дезинфекционные мероприятия на транспортных средствах в соответствии с учредительными документами, в которых будет указано, что одним из видов экономической деятельности является деятельность по дезинфекции.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Вместе с тем, требование Заказчика, указанное в пункте 6.19 ТЗ о том, что Исполнитель до заключения контракта обязан предоставить Заказчику договор дезинфекции со специализированной организацией со сроком действия с 01.01.2024 до 31.12.2024, в котором будет указан адрес оказания такой услуги, является неправомерным, поскольку обязывает Исполнителя заключить договор с третьим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лицом на оказание дезинфекционных работ, что противоречит действующему законодательству и нарушает положения пункта 1 части 2 статьи 42 и части 3 статьи 33 Закона о контрактной системе, а также содержит признаки состава административного правонарушения, ответственность за которое предусмотрена частью 1.4 статьи 7.30 КоАП РФ.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Комиссия отмечает, что Заказчик не лишен права установить требование о том, что проведение дезинфекционных мероприятий должно осуществляться Исполнителем в соответствии с действующим законодательством Российской Федерации.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Довод жалобы обоснован.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пункта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проверок, а также в результате рассмотрения жалобы на действия (бездействие) субъектов контроля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Федерации, в том числе об аннулировании определения поставщиков (подрядчиков, исполнителей).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6235" w:val="left"/>
        </w:tabs>
        <w:bidi w:val="0"/>
        <w:spacing w:before="0" w:after="0" w:line="298" w:lineRule="auto"/>
        <w:ind w:left="0" w:right="0" w:firstLine="58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отмечает, что внеплановая проверка размещения закупки проведена в рамках рассмотрения жалобы ИП</w:t>
        <w:tab/>
        <w:t>, по результатам рассмотрения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98" w:lineRule="auto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которой принято Решение № 019/06/106-1309/2023 от 14.12.2023 и выдано Предписание по жалобе № 019/06/106-1309/2023 от 14.12.2023 (размещены в ЕИС), в связи с чем, в рамках рассмотрения настоящей жалобы такая проверка не проводится и предписание не выдается.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60" w:line="293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 и руководствуясь положениями Закона о контрактной системе, Комиссия,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60" w:line="298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98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«Людвиг» обоснованной в части довода по неправомерному установлению в описании объекта закупки требований, указанных в подпунктах 6.15, 6.17, 6.19.</w:t>
      </w:r>
    </w:p>
    <w:p>
      <w:pPr>
        <w:pStyle w:val="Style1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98" w:val="left"/>
        </w:tabs>
        <w:bidi w:val="0"/>
        <w:spacing w:before="0" w:after="0" w:line="298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Заказчика нарушившим часть 3 статьи 33 и пункт 1 части 2 статьи 42 Закона о контрактной системе.</w:t>
      </w:r>
    </w:p>
    <w:p>
      <w:pPr>
        <w:pStyle w:val="Style1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98" w:val="left"/>
        </w:tabs>
        <w:bidi w:val="0"/>
        <w:spacing w:before="0" w:after="360" w:line="298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об устранении выявленных нарушений не выдавать, поскольку предписание № 019/06/106-1309/2023 от 14.12.2023 выдано в рамках рассмотрения</w:t>
      </w:r>
      <w:r>
        <w:br w:type="page"/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3898265" distL="0" distR="0" simplePos="0" relativeHeight="125829380" behindDoc="0" locked="0" layoutInCell="1" allowOverlap="1">
                <wp:simplePos x="0" y="0"/>
                <wp:positionH relativeFrom="page">
                  <wp:posOffset>706755</wp:posOffset>
                </wp:positionH>
                <wp:positionV relativeFrom="paragraph">
                  <wp:posOffset>0</wp:posOffset>
                </wp:positionV>
                <wp:extent cx="6513830" cy="972185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513830" cy="972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98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жалобы ИП</w:t>
                            </w:r>
                          </w:p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98" w:lineRule="auto"/>
                              <w:ind w:left="0" w:right="0" w:firstLine="56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4. Передать материалы жалобы должностному лицу Управления Федеральной антимонопольной службы по Республике Хакасия для рассмотрения вопроса о возбуждении дела об административном правонарушении.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5.649999999999999pt;margin-top:0;width:512.89999999999998pt;height:76.549999999999997pt;z-index:-125829373;mso-wrap-distance-left:0;mso-wrap-distance-right:0;mso-wrap-distance-bottom:306.94999999999999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98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жалобы ИП</w:t>
                      </w:r>
                    </w:p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98" w:lineRule="auto"/>
                        <w:ind w:left="0" w:right="0" w:firstLine="56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4. Передать материалы жалобы должностному лицу Управления Федеральной антимонопольной службы по Республике Хакасия для рассмотрения вопроса о возбуждении дела об административном правонарушении.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88720" distB="3248660" distL="0" distR="0" simplePos="0" relativeHeight="125829382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ragraph">
                  <wp:posOffset>1188720</wp:posOffset>
                </wp:positionV>
                <wp:extent cx="6525895" cy="433070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525895" cy="4330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10" w:lineRule="auto"/>
                              <w:ind w:left="0" w:right="0" w:firstLine="56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Настоящее решение может быть обжаловано в суде, арбитражном суде в течение трех месяц ев в установленном законом порядке.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54.950000000000003pt;margin-top:93.600000000000009pt;width:513.85000000000002pt;height:34.100000000000001pt;z-index:-125829371;mso-wrap-distance-left:0;mso-wrap-distance-top:93.600000000000009pt;mso-wrap-distance-right:0;mso-wrap-distance-bottom:255.8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10" w:lineRule="auto"/>
                        <w:ind w:left="0" w:right="0" w:firstLine="56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Настоящее решение может быть обжаловано в суде, арбитражном суде в течение трех месяц ев в установленном законом порядке.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13560" distB="2846705" distL="0" distR="0" simplePos="0" relativeHeight="125829384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1813560</wp:posOffset>
                </wp:positionV>
                <wp:extent cx="1837690" cy="210185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37690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58.050000000000004pt;margin-top:142.80000000000001pt;width:144.70000000000002pt;height:16.550000000000001pt;z-index:-125829369;mso-wrap-distance-left:0;mso-wrap-distance-top:142.80000000000001pt;mso-wrap-distance-right:0;mso-wrap-distance-bottom:224.15000000000001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904490" distB="1761490" distL="0" distR="0" simplePos="0" relativeHeight="125829386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2904490</wp:posOffset>
                </wp:positionV>
                <wp:extent cx="1334770" cy="20447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34770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58.050000000000004pt;margin-top:228.70000000000002pt;width:105.10000000000001pt;height:16.100000000000001pt;z-index:-125829367;mso-wrap-distance-left:0;mso-wrap-distance-top:228.70000000000002pt;mso-wrap-distance-right:0;mso-wrap-distance-bottom:138.70000000000002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874520" distB="2633345" distL="0" distR="1804670" simplePos="0" relativeHeight="125829388" behindDoc="0" locked="0" layoutInCell="1" allowOverlap="1">
            <wp:simplePos x="0" y="0"/>
            <wp:positionH relativeFrom="page">
              <wp:posOffset>2843530</wp:posOffset>
            </wp:positionH>
            <wp:positionV relativeFrom="paragraph">
              <wp:posOffset>1874520</wp:posOffset>
            </wp:positionV>
            <wp:extent cx="311150" cy="365760"/>
            <wp:wrapTopAndBottom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3236595</wp:posOffset>
                </wp:positionH>
                <wp:positionV relativeFrom="paragraph">
                  <wp:posOffset>1947545</wp:posOffset>
                </wp:positionV>
                <wp:extent cx="1722120" cy="255905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54.84999999999999pt;margin-top:153.34999999999999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267585" distB="2511425" distL="0" distR="0" simplePos="0" relativeHeight="125829389" behindDoc="0" locked="0" layoutInCell="1" allowOverlap="1">
                <wp:simplePos x="0" y="0"/>
                <wp:positionH relativeFrom="page">
                  <wp:posOffset>3279775</wp:posOffset>
                </wp:positionH>
                <wp:positionV relativeFrom="paragraph">
                  <wp:posOffset>2267585</wp:posOffset>
                </wp:positionV>
                <wp:extent cx="1283335" cy="91440"/>
                <wp:wrapTopAndBottom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914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58.25pt;margin-top:178.55000000000001pt;width:101.05pt;height:7.2000000000000002pt;z-index:-125829364;mso-wrap-distance-left:0;mso-wrap-distance-top:178.55000000000001pt;mso-wrap-distance-right:0;mso-wrap-distance-bottom:197.75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414270" distB="2157730" distL="0" distR="0" simplePos="0" relativeHeight="125829391" behindDoc="0" locked="0" layoutInCell="1" allowOverlap="1">
                <wp:simplePos x="0" y="0"/>
                <wp:positionH relativeFrom="page">
                  <wp:posOffset>2831465</wp:posOffset>
                </wp:positionH>
                <wp:positionV relativeFrom="paragraph">
                  <wp:posOffset>2414270</wp:posOffset>
                </wp:positionV>
                <wp:extent cx="2099945" cy="298450"/>
                <wp:wrapTopAndBottom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99945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Кому выдан: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Широкова Ольга Владимировна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Сертификат № 6Э4А98ЕЗСЕВА093Е580АЕ4630Е2А4914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Действителен с 28.09.2022 по 22.12.2023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22.95000000000002pt;margin-top:190.09999999999999pt;width:165.34999999999999pt;height:23.5pt;z-index:-125829362;mso-wrap-distance-left:0;mso-wrap-distance-top:190.09999999999999pt;mso-wrap-distance-right:0;mso-wrap-distance-bottom:169.90000000000001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Кому выдан: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Широкова Ольга Владимировна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Сертификат № 6Э4А98ЕЗСЕВА093Е580АЕ4630Е2А4914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Действителен с 28.09.2022 по 22.12.2023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237105" distB="2423160" distL="0" distR="0" simplePos="0" relativeHeight="125829393" behindDoc="0" locked="0" layoutInCell="1" allowOverlap="1">
                <wp:simplePos x="0" y="0"/>
                <wp:positionH relativeFrom="page">
                  <wp:posOffset>6001385</wp:posOffset>
                </wp:positionH>
                <wp:positionV relativeFrom="paragraph">
                  <wp:posOffset>2237105</wp:posOffset>
                </wp:positionV>
                <wp:extent cx="1197610" cy="210185"/>
                <wp:wrapTopAndBottom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7610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О.В. Широкова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472.55000000000001pt;margin-top:176.15000000000001pt;width:94.299999999999997pt;height:16.550000000000001pt;z-index:-125829360;mso-wrap-distance-left:0;mso-wrap-distance-top:176.15000000000001pt;mso-wrap-distance-right:0;mso-wrap-distance-bottom:190.80000000000001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О.В. Широкова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242945" distB="1268095" distL="0" distR="1801495" simplePos="0" relativeHeight="125829395" behindDoc="0" locked="0" layoutInCell="1" allowOverlap="1">
            <wp:simplePos x="0" y="0"/>
            <wp:positionH relativeFrom="page">
              <wp:posOffset>2843530</wp:posOffset>
            </wp:positionH>
            <wp:positionV relativeFrom="paragraph">
              <wp:posOffset>3242945</wp:posOffset>
            </wp:positionV>
            <wp:extent cx="311150" cy="359410"/>
            <wp:wrapTopAndBottom/>
            <wp:docPr id="28" name="Shape 2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box 29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1150" cy="3594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3236595</wp:posOffset>
                </wp:positionH>
                <wp:positionV relativeFrom="paragraph">
                  <wp:posOffset>3312795</wp:posOffset>
                </wp:positionV>
                <wp:extent cx="1718945" cy="255905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1894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54.84999999999999pt;margin-top:260.85000000000002pt;width:135.3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633470" distB="1145540" distL="0" distR="0" simplePos="0" relativeHeight="125829396" behindDoc="0" locked="0" layoutInCell="1" allowOverlap="1">
                <wp:simplePos x="0" y="0"/>
                <wp:positionH relativeFrom="page">
                  <wp:posOffset>3279775</wp:posOffset>
                </wp:positionH>
                <wp:positionV relativeFrom="paragraph">
                  <wp:posOffset>3633470</wp:posOffset>
                </wp:positionV>
                <wp:extent cx="1283335" cy="91440"/>
                <wp:wrapTopAndBottom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914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258.25pt;margin-top:286.10000000000002pt;width:101.05pt;height:7.2000000000000002pt;z-index:-125829357;mso-wrap-distance-left:0;mso-wrap-distance-top:286.10000000000002pt;mso-wrap-distance-right:0;mso-wrap-distance-bottom:90.200000000000003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779520" distB="792480" distL="0" distR="0" simplePos="0" relativeHeight="125829398" behindDoc="0" locked="0" layoutInCell="1" allowOverlap="1">
                <wp:simplePos x="0" y="0"/>
                <wp:positionH relativeFrom="page">
                  <wp:posOffset>2831465</wp:posOffset>
                </wp:positionH>
                <wp:positionV relativeFrom="paragraph">
                  <wp:posOffset>3779520</wp:posOffset>
                </wp:positionV>
                <wp:extent cx="2212975" cy="298450"/>
                <wp:wrapTopAndBottom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12975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Кому выдан: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Лунёва Анастасия Владимировна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Сертификат № 00С2ВЕСЕЗЕЕ8А4АГВО6РА8С1СЗВВСГАО: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Действителен с 10.03.2023 по 02.06.2024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222.95000000000002pt;margin-top:297.60000000000002pt;width:174.25pt;height:23.5pt;z-index:-125829355;mso-wrap-distance-left:0;mso-wrap-distance-top:297.60000000000002pt;mso-wrap-distance-right:0;mso-wrap-distance-bottom:62.399999999999999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Кому выдан: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Лунёва Анастасия Владимировна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Сертификат № 00С2ВЕСЕЗЕЕ8А4АГВО6РА8С1СЗВВСГАО: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Действителен с 10.03.2023 по 02.06.2024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602990" distB="1057275" distL="0" distR="0" simplePos="0" relativeHeight="125829400" behindDoc="0" locked="0" layoutInCell="1" allowOverlap="1">
                <wp:simplePos x="0" y="0"/>
                <wp:positionH relativeFrom="page">
                  <wp:posOffset>6233160</wp:posOffset>
                </wp:positionH>
                <wp:positionV relativeFrom="paragraph">
                  <wp:posOffset>3602990</wp:posOffset>
                </wp:positionV>
                <wp:extent cx="966470" cy="210185"/>
                <wp:wrapTopAndBottom/>
                <wp:docPr id="36" name="Shape 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6470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А.В. Лунёва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2" type="#_x0000_t202" style="position:absolute;margin-left:490.80000000000001pt;margin-top:283.69999999999999pt;width:76.100000000000009pt;height:16.550000000000001pt;z-index:-125829353;mso-wrap-distance-left:0;mso-wrap-distance-top:283.69999999999999pt;mso-wrap-distance-right:0;mso-wrap-distance-bottom:83.25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А.В. Лунёва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316095" distB="158115" distL="0" distR="1786255" simplePos="0" relativeHeight="125829402" behindDoc="0" locked="0" layoutInCell="1" allowOverlap="1">
            <wp:simplePos x="0" y="0"/>
            <wp:positionH relativeFrom="page">
              <wp:posOffset>2822575</wp:posOffset>
            </wp:positionH>
            <wp:positionV relativeFrom="paragraph">
              <wp:posOffset>4316095</wp:posOffset>
            </wp:positionV>
            <wp:extent cx="353695" cy="396240"/>
            <wp:wrapTopAndBottom/>
            <wp:docPr id="38" name="Shape 3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box 39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3237230</wp:posOffset>
                </wp:positionH>
                <wp:positionV relativeFrom="paragraph">
                  <wp:posOffset>4404360</wp:posOffset>
                </wp:positionV>
                <wp:extent cx="1722120" cy="255905"/>
                <wp:wrapNone/>
                <wp:docPr id="40" name="Shape 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6" type="#_x0000_t202" style="position:absolute;margin-left:254.90000000000001pt;margin-top:346.80000000000001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4727575" distB="51435" distL="0" distR="0" simplePos="0" relativeHeight="125829403" behindDoc="0" locked="0" layoutInCell="1" allowOverlap="1">
                <wp:simplePos x="0" y="0"/>
                <wp:positionH relativeFrom="page">
                  <wp:posOffset>3279775</wp:posOffset>
                </wp:positionH>
                <wp:positionV relativeFrom="paragraph">
                  <wp:posOffset>4727575</wp:posOffset>
                </wp:positionV>
                <wp:extent cx="1280160" cy="91440"/>
                <wp:wrapTopAndBottom/>
                <wp:docPr id="42" name="Shape 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914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8" type="#_x0000_t202" style="position:absolute;margin-left:258.25pt;margin-top:372.25pt;width:100.8pt;height:7.2000000000000002pt;z-index:-125829350;mso-wrap-distance-left:0;mso-wrap-distance-top:372.25pt;mso-wrap-distance-right:0;mso-wrap-distance-bottom:4.0499999999999998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681855" distB="0" distL="0" distR="0" simplePos="0" relativeHeight="125829405" behindDoc="0" locked="0" layoutInCell="1" allowOverlap="1">
                <wp:simplePos x="0" y="0"/>
                <wp:positionH relativeFrom="page">
                  <wp:posOffset>6318250</wp:posOffset>
                </wp:positionH>
                <wp:positionV relativeFrom="paragraph">
                  <wp:posOffset>4681855</wp:posOffset>
                </wp:positionV>
                <wp:extent cx="868680" cy="189230"/>
                <wp:wrapTopAndBottom/>
                <wp:docPr id="44" name="Shape 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6868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К.А. Сизов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0" type="#_x0000_t202" style="position:absolute;margin-left:497.5pt;margin-top:368.65000000000003pt;width:68.400000000000006pt;height:14.9pt;z-index:-125829348;mso-wrap-distance-left:0;mso-wrap-distance-top:368.65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К.А. Сизов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360"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Сизов Константин Александрович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3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Сертификат № 009ААС1ААОЗС89062В2ВАВ70Е76427Э2Е;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080" w:line="240" w:lineRule="auto"/>
        <w:ind w:left="33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Действителен с 27.04.2023 по 20.07.2024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Исп.Сизов К.А.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тел.(3902) 22-66-21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47" w:right="518" w:bottom="787" w:left="1092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718820</wp:posOffset>
              </wp:positionH>
              <wp:positionV relativeFrom="page">
                <wp:posOffset>9973945</wp:posOffset>
              </wp:positionV>
              <wp:extent cx="70739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739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2023-11801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6.600000000000001pt;margin-top:785.35000000000002pt;width:55.700000000000003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2023-11801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04215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421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2023-11801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776.20000000000005pt;width:55.450000000000003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2023-11801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3903980</wp:posOffset>
              </wp:positionH>
              <wp:positionV relativeFrom="page">
                <wp:posOffset>720725</wp:posOffset>
              </wp:positionV>
              <wp:extent cx="128270" cy="10033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82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7.40000000000003pt;margin-top:56.75pt;width:10.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2"/>
      <w:numFmt w:val="decimal"/>
      <w:lvlText w:val="%1)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1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4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5D9B"/>
      <w:sz w:val="16"/>
      <w:szCs w:val="16"/>
      <w:u w:val="none"/>
    </w:rPr>
  </w:style>
  <w:style w:type="character" w:customStyle="1" w:styleId="CharStyle9">
    <w:name w:val="Основной текст (5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5D9B"/>
      <w:sz w:val="19"/>
      <w:szCs w:val="19"/>
      <w:u w:val="none"/>
    </w:rPr>
  </w:style>
  <w:style w:type="character" w:customStyle="1" w:styleId="CharStyle11">
    <w:name w:val="Заголовок №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5">
    <w:name w:val="Основной текст (2)_"/>
    <w:basedOn w:val="DefaultParagraphFont"/>
    <w:link w:val="Style1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CharStyle19">
    <w:name w:val="Основной текст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3">
    <w:name w:val="Подпись к картинке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25">
    <w:name w:val="Основной текст (3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30">
    <w:name w:val="Подпись к таблице_"/>
    <w:basedOn w:val="DefaultParagraphFont"/>
    <w:link w:val="Styl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33">
    <w:name w:val="Другое_"/>
    <w:basedOn w:val="DefaultParagraphFont"/>
    <w:link w:val="Style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35">
    <w:name w:val="Заголовок №1_"/>
    <w:basedOn w:val="DefaultParagraphFont"/>
    <w:link w:val="Style34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auto"/>
      <w:spacing w:after="2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5D9B"/>
      <w:sz w:val="16"/>
      <w:szCs w:val="16"/>
      <w:u w:val="none"/>
    </w:rPr>
  </w:style>
  <w:style w:type="paragraph" w:customStyle="1" w:styleId="Style8">
    <w:name w:val="Основной текст (5)"/>
    <w:basedOn w:val="Normal"/>
    <w:link w:val="CharStyle9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5D9B"/>
      <w:sz w:val="19"/>
      <w:szCs w:val="19"/>
      <w:u w:val="none"/>
    </w:rPr>
  </w:style>
  <w:style w:type="paragraph" w:customStyle="1" w:styleId="Style10">
    <w:name w:val="Заголовок №2"/>
    <w:basedOn w:val="Normal"/>
    <w:link w:val="CharStyle11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4">
    <w:name w:val="Основной текст (2)"/>
    <w:basedOn w:val="Normal"/>
    <w:link w:val="CharStyle15"/>
    <w:pPr>
      <w:widowControl w:val="0"/>
      <w:shd w:val="clear" w:color="auto" w:fill="auto"/>
      <w:spacing w:line="350" w:lineRule="auto"/>
      <w:ind w:firstLine="580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paragraph" w:customStyle="1" w:styleId="Style18">
    <w:name w:val="Основной текст"/>
    <w:basedOn w:val="Normal"/>
    <w:link w:val="CharStyle19"/>
    <w:pPr>
      <w:widowControl w:val="0"/>
      <w:shd w:val="clear" w:color="auto" w:fill="auto"/>
      <w:spacing w:line="295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2">
    <w:name w:val="Подпись к картинке"/>
    <w:basedOn w:val="Normal"/>
    <w:link w:val="CharStyle23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24">
    <w:name w:val="Основной текст (3)"/>
    <w:basedOn w:val="Normal"/>
    <w:link w:val="CharStyle25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29">
    <w:name w:val="Подпись к таблице"/>
    <w:basedOn w:val="Normal"/>
    <w:link w:val="CharStyle30"/>
    <w:pPr>
      <w:widowControl w:val="0"/>
      <w:shd w:val="clear" w:color="auto" w:fill="auto"/>
      <w:spacing w:line="293" w:lineRule="auto"/>
      <w:ind w:firstLine="5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32">
    <w:name w:val="Другое"/>
    <w:basedOn w:val="Normal"/>
    <w:link w:val="CharStyle33"/>
    <w:pPr>
      <w:widowControl w:val="0"/>
      <w:shd w:val="clear" w:color="auto" w:fill="auto"/>
      <w:spacing w:line="295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34">
    <w:name w:val="Заголовок №1"/>
    <w:basedOn w:val="Normal"/>
    <w:link w:val="CharStyle35"/>
    <w:pPr>
      <w:widowControl w:val="0"/>
      <w:shd w:val="clear" w:color="auto" w:fill="auto"/>
      <w:spacing w:after="3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