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1783715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723265</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10"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9.12,2023</w:t>
                              <w:tab/>
                            </w:r>
                            <w:r>
                              <w:fldChar w:fldCharType="end"/>
                            </w:r>
                            <w:r>
                              <w:rPr>
                                <w:color w:val="000000"/>
                                <w:spacing w:val="0"/>
                                <w:w w:val="100"/>
                                <w:position w:val="0"/>
                                <w:sz w:val="30"/>
                                <w:szCs w:val="30"/>
                                <w:u w:val="single"/>
                                <w:shd w:val="clear" w:color="auto" w:fill="auto"/>
                                <w:lang w:val="ru-RU" w:eastAsia="ru-RU" w:bidi="ru-RU"/>
                              </w:rPr>
                              <w:t>№ 54159/23</w:t>
                            </w:r>
                          </w:p>
                          <w:p>
                            <w:pPr>
                              <w:pStyle w:val="Style2"/>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950000000000003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10"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9.12,2023</w:t>
                        <w:tab/>
                      </w:r>
                      <w:r>
                        <w:fldChar w:fldCharType="end"/>
                      </w:r>
                      <w:r>
                        <w:rPr>
                          <w:color w:val="000000"/>
                          <w:spacing w:val="0"/>
                          <w:w w:val="100"/>
                          <w:position w:val="0"/>
                          <w:sz w:val="30"/>
                          <w:szCs w:val="30"/>
                          <w:u w:val="single"/>
                          <w:shd w:val="clear" w:color="auto" w:fill="auto"/>
                          <w:lang w:val="ru-RU" w:eastAsia="ru-RU" w:bidi="ru-RU"/>
                        </w:rPr>
                        <w:t>№ 54159/23</w:t>
                      </w:r>
                    </w:p>
                    <w:p>
                      <w:pPr>
                        <w:pStyle w:val="Style2"/>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040" w:right="0" w:firstLine="0"/>
        <w:jc w:val="both"/>
        <w:rPr>
          <w:sz w:val="28"/>
          <w:szCs w:val="28"/>
        </w:rPr>
      </w:pPr>
      <w:r>
        <w:rPr>
          <w:color w:val="000000"/>
          <w:spacing w:val="0"/>
          <w:w w:val="100"/>
          <w:position w:val="0"/>
          <w:sz w:val="28"/>
          <w:szCs w:val="28"/>
          <w:shd w:val="clear" w:color="auto" w:fill="auto"/>
          <w:lang w:val="ru-RU" w:eastAsia="ru-RU" w:bidi="ru-RU"/>
        </w:rPr>
        <w:t>ГБУЗ «ПНД № 22 ДЗМ»</w:t>
      </w:r>
    </w:p>
    <w:p>
      <w:pPr>
        <w:pStyle w:val="Style6"/>
        <w:keepNext w:val="0"/>
        <w:keepLines w:val="0"/>
        <w:widowControl w:val="0"/>
        <w:shd w:val="clear" w:color="auto" w:fill="auto"/>
        <w:bidi w:val="0"/>
        <w:spacing w:before="0" w:after="280" w:line="240" w:lineRule="auto"/>
        <w:ind w:left="1040" w:right="0" w:firstLine="0"/>
        <w:jc w:val="both"/>
        <w:rPr>
          <w:sz w:val="28"/>
          <w:szCs w:val="28"/>
        </w:rPr>
      </w:pPr>
      <w:r>
        <w:rPr>
          <w:color w:val="000000"/>
          <w:spacing w:val="0"/>
          <w:w w:val="100"/>
          <w:position w:val="0"/>
          <w:sz w:val="28"/>
          <w:szCs w:val="28"/>
          <w:shd w:val="clear" w:color="auto" w:fill="auto"/>
          <w:lang w:val="ru-RU" w:eastAsia="ru-RU" w:bidi="ru-RU"/>
        </w:rPr>
        <w:t>/акир1&lt;1.р11с122@/с1гау. 1ПОУП1</w:t>
      </w:r>
    </w:p>
    <w:p>
      <w:pPr>
        <w:pStyle w:val="Style6"/>
        <w:keepNext w:val="0"/>
        <w:keepLines w:val="0"/>
        <w:widowControl w:val="0"/>
        <w:shd w:val="clear" w:color="auto" w:fill="auto"/>
        <w:bidi w:val="0"/>
        <w:spacing w:before="0" w:after="280" w:line="240" w:lineRule="auto"/>
        <w:ind w:left="1040" w:right="0" w:firstLine="0"/>
        <w:jc w:val="both"/>
        <w:rPr>
          <w:sz w:val="28"/>
          <w:szCs w:val="28"/>
        </w:rPr>
      </w:pPr>
      <w:r>
        <w:rPr>
          <w:color w:val="000000"/>
          <w:spacing w:val="0"/>
          <w:w w:val="100"/>
          <w:position w:val="0"/>
          <w:sz w:val="28"/>
          <w:szCs w:val="28"/>
          <w:shd w:val="clear" w:color="auto" w:fill="auto"/>
          <w:lang w:val="ru-RU" w:eastAsia="ru-RU" w:bidi="ru-RU"/>
        </w:rPr>
        <w:t>ООО «Комби»</w:t>
      </w:r>
    </w:p>
    <w:p>
      <w:pPr>
        <w:pStyle w:val="Style6"/>
        <w:keepNext w:val="0"/>
        <w:keepLines w:val="0"/>
        <w:widowControl w:val="0"/>
        <w:shd w:val="clear" w:color="auto" w:fill="auto"/>
        <w:bidi w:val="0"/>
        <w:spacing w:before="0" w:after="280" w:line="240" w:lineRule="auto"/>
        <w:ind w:left="1040" w:right="0" w:firstLine="0"/>
        <w:jc w:val="both"/>
        <w:rPr>
          <w:sz w:val="28"/>
          <w:szCs w:val="28"/>
        </w:rPr>
      </w:pPr>
      <w:r>
        <w:rPr>
          <w:color w:val="000000"/>
          <w:spacing w:val="0"/>
          <w:w w:val="100"/>
          <w:position w:val="0"/>
          <w:sz w:val="28"/>
          <w:szCs w:val="28"/>
          <w:shd w:val="clear" w:color="auto" w:fill="auto"/>
          <w:lang w:val="ru-RU" w:eastAsia="ru-RU" w:bidi="ru-RU"/>
        </w:rPr>
        <w:t>котЪу-пп@тай.ги</w:t>
      </w:r>
    </w:p>
    <w:p>
      <w:pPr>
        <w:pStyle w:val="Style6"/>
        <w:keepNext w:val="0"/>
        <w:keepLines w:val="0"/>
        <w:widowControl w:val="0"/>
        <w:shd w:val="clear" w:color="auto" w:fill="auto"/>
        <w:bidi w:val="0"/>
        <w:spacing w:before="0" w:after="280" w:line="240" w:lineRule="auto"/>
        <w:ind w:left="1040" w:right="0" w:firstLine="0"/>
        <w:jc w:val="both"/>
        <w:rPr>
          <w:sz w:val="28"/>
          <w:szCs w:val="28"/>
        </w:rPr>
      </w:pPr>
      <w:r>
        <w:rPr>
          <w:color w:val="000000"/>
          <w:spacing w:val="0"/>
          <w:w w:val="100"/>
          <w:position w:val="0"/>
          <w:sz w:val="28"/>
          <w:szCs w:val="28"/>
          <w:shd w:val="clear" w:color="auto" w:fill="auto"/>
          <w:lang w:val="ru-RU" w:eastAsia="ru-RU" w:bidi="ru-RU"/>
        </w:rPr>
        <w:t>АО «ЕЭТП»</w:t>
      </w:r>
    </w:p>
    <w:p>
      <w:pPr>
        <w:pStyle w:val="Style6"/>
        <w:keepNext w:val="0"/>
        <w:keepLines w:val="0"/>
        <w:widowControl w:val="0"/>
        <w:shd w:val="clear" w:color="auto" w:fill="auto"/>
        <w:bidi w:val="0"/>
        <w:spacing w:before="0" w:after="1380" w:line="240" w:lineRule="auto"/>
        <w:ind w:left="1040" w:right="0" w:firstLine="0"/>
        <w:jc w:val="both"/>
        <w:rPr>
          <w:sz w:val="28"/>
          <w:szCs w:val="28"/>
        </w:rPr>
      </w:pPr>
      <w:r>
        <w:rPr>
          <w:color w:val="000000"/>
          <w:spacing w:val="0"/>
          <w:w w:val="100"/>
          <w:position w:val="0"/>
          <w:sz w:val="28"/>
          <w:szCs w:val="28"/>
          <w:shd w:val="clear" w:color="auto" w:fill="auto"/>
          <w:lang w:val="ru-RU" w:eastAsia="ru-RU" w:bidi="ru-RU"/>
        </w:rPr>
        <w:t>ко@го8екогд.ги</w:t>
      </w:r>
    </w:p>
    <w:p>
      <w:pPr>
        <w:pStyle w:val="Style13"/>
        <w:keepNext/>
        <w:keepLines/>
        <w:widowControl w:val="0"/>
        <w:shd w:val="clear" w:color="auto" w:fill="auto"/>
        <w:bidi w:val="0"/>
        <w:spacing w:before="0" w:after="0"/>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13"/>
        <w:keepNext/>
        <w:keepLines/>
        <w:widowControl w:val="0"/>
        <w:shd w:val="clear" w:color="auto" w:fill="auto"/>
        <w:tabs>
          <w:tab w:pos="8942" w:val="left"/>
        </w:tabs>
        <w:bidi w:val="0"/>
        <w:spacing w:before="0" w:after="0"/>
        <w:ind w:left="0" w:right="0" w:firstLine="0"/>
        <w:jc w:val="center"/>
      </w:pPr>
      <w:bookmarkStart w:id="2" w:name="bookmark2"/>
      <w:r>
        <w:rPr>
          <w:color w:val="000000"/>
          <w:spacing w:val="0"/>
          <w:w w:val="100"/>
          <w:position w:val="0"/>
          <w:shd w:val="clear" w:color="auto" w:fill="auto"/>
          <w:lang w:val="ru-RU" w:eastAsia="ru-RU" w:bidi="ru-RU"/>
        </w:rPr>
        <w:t>по делу № 077/06/106-17378/2023 о нарушении</w:t>
        <w:br/>
        <w:t>законодательства о контрактной системе</w:t>
        <w:br/>
        <w:t>14.12.2023</w:t>
        <w:tab/>
        <w:t>г. Москва</w:t>
      </w:r>
      <w:bookmarkEnd w:id="2"/>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при участии представителя:</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ГБУЗ «ПНД № 22 ДЗМ»: Д.А. Исингалиева (по доверенности № 44/д от 11.12.2023),</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отсутствие представителей ООО «Комби», о времени и порядке заседания Комиссии уведомленных Московским УФАС России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460"/>
        <w:ind w:left="0" w:right="0" w:firstLine="720"/>
        <w:jc w:val="both"/>
      </w:pPr>
      <w:r>
        <w:rPr>
          <w:color w:val="000000"/>
          <w:spacing w:val="0"/>
          <w:w w:val="100"/>
          <w:position w:val="0"/>
          <w:shd w:val="clear" w:color="auto" w:fill="auto"/>
          <w:lang w:val="ru-RU" w:eastAsia="ru-RU" w:bidi="ru-RU"/>
        </w:rPr>
        <w:t>рассмотрев жалобу ООО «Комби» (далее — Заявитель) на действия ГБУЗ «ПНД № 22 ДЗМ» (далее — Заказчик) при проведении электронного аукциона на право заключения государственного контракта на выполнение работ по разработке проектно-сметной документации для автоматической установки пожарной сигнализации и системы оповещения и управления эвакуацией людей в случае возникновения пожара и автоматической установки пожаротушения на объекте ГБУЗ «ПНД № 22 ДЗМ» (г. Зеленоград, корпус 1462) (Закупка № 0873200005723000082)</w:t>
      </w:r>
    </w:p>
    <w:p>
      <w:pPr>
        <w:pStyle w:val="Style15"/>
        <w:keepNext/>
        <w:keepLines/>
        <w:widowControl w:val="0"/>
        <w:shd w:val="clear" w:color="auto" w:fill="auto"/>
        <w:bidi w:val="0"/>
        <w:spacing w:before="0" w:line="240" w:lineRule="auto"/>
        <w:ind w:left="0" w:right="0"/>
        <w:jc w:val="both"/>
      </w:pPr>
      <w:bookmarkStart w:id="4" w:name="bookmark4"/>
      <w:r>
        <w:rPr>
          <w:color w:val="000000"/>
          <w:spacing w:val="0"/>
          <w:w w:val="100"/>
          <w:position w:val="0"/>
          <w:shd w:val="clear" w:color="auto" w:fill="auto"/>
          <w:lang w:val="ru-RU" w:eastAsia="ru-RU" w:bidi="ru-RU"/>
        </w:rPr>
        <w:t>||||||||||||||||||||||||||||</w:t>
      </w:r>
      <w:bookmarkEnd w:id="4"/>
    </w:p>
    <w:p>
      <w:pPr>
        <w:pStyle w:val="Style6"/>
        <w:keepNext w:val="0"/>
        <w:keepLines w:val="0"/>
        <w:widowControl w:val="0"/>
        <w:shd w:val="clear" w:color="auto" w:fill="auto"/>
        <w:bidi w:val="0"/>
        <w:spacing w:before="0" w:after="280"/>
        <w:ind w:left="0" w:right="0" w:firstLine="0"/>
        <w:jc w:val="both"/>
      </w:pPr>
      <w:r>
        <w:rPr>
          <w:color w:val="000000"/>
          <w:spacing w:val="0"/>
          <w:w w:val="100"/>
          <w:position w:val="0"/>
          <w:shd w:val="clear" w:color="auto" w:fill="auto"/>
          <w:lang w:val="ru-RU" w:eastAsia="ru-RU" w:bidi="ru-RU"/>
        </w:rPr>
        <w:t>(далее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keepLines/>
        <w:widowControl w:val="0"/>
        <w:shd w:val="clear" w:color="auto" w:fill="auto"/>
        <w:bidi w:val="0"/>
        <w:spacing w:before="0" w:after="280" w:line="276" w:lineRule="auto"/>
        <w:ind w:left="0" w:right="0" w:firstLine="0"/>
        <w:jc w:val="center"/>
      </w:pPr>
      <w:bookmarkStart w:id="6" w:name="bookmark6"/>
      <w:r>
        <w:rPr>
          <w:color w:val="000000"/>
          <w:spacing w:val="0"/>
          <w:w w:val="100"/>
          <w:position w:val="0"/>
          <w:shd w:val="clear" w:color="auto" w:fill="auto"/>
          <w:lang w:val="ru-RU" w:eastAsia="ru-RU" w:bidi="ru-RU"/>
        </w:rPr>
        <w:t>УСТАНОВИЛА:</w:t>
      </w:r>
      <w:bookmarkEnd w:id="6"/>
    </w:p>
    <w:p>
      <w:pPr>
        <w:pStyle w:val="Style6"/>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в нарушение Закона о контрактной системе.</w:t>
      </w:r>
    </w:p>
    <w:p>
      <w:pPr>
        <w:pStyle w:val="Style6"/>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 33 Закона о контрактной системе.</w:t>
      </w:r>
    </w:p>
    <w:p>
      <w:pPr>
        <w:pStyle w:val="Style6"/>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6"/>
        <w:keepNext w:val="0"/>
        <w:keepLines w:val="0"/>
        <w:widowControl w:val="0"/>
        <w:numPr>
          <w:ilvl w:val="0"/>
          <w:numId w:val="1"/>
        </w:numPr>
        <w:shd w:val="clear" w:color="auto" w:fill="auto"/>
        <w:tabs>
          <w:tab w:pos="1100" w:val="left"/>
        </w:tabs>
        <w:bidi w:val="0"/>
        <w:spacing w:before="0" w:after="0" w:line="276" w:lineRule="auto"/>
        <w:ind w:left="0" w:right="0" w:firstLine="72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091" w:val="left"/>
        </w:tabs>
        <w:bidi w:val="0"/>
        <w:spacing w:before="0" w:after="0" w:line="276"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095" w:val="left"/>
        </w:tabs>
        <w:bidi w:val="0"/>
        <w:spacing w:before="0" w:after="0" w:line="276"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086" w:val="left"/>
        </w:tabs>
        <w:bidi w:val="0"/>
        <w:spacing w:before="0" w:after="0" w:line="276"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076" w:val="left"/>
        </w:tabs>
        <w:bidi w:val="0"/>
        <w:spacing w:before="0" w:after="280" w:line="276"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numPr>
          <w:ilvl w:val="0"/>
          <w:numId w:val="1"/>
        </w:numPr>
        <w:shd w:val="clear" w:color="auto" w:fill="auto"/>
        <w:tabs>
          <w:tab w:pos="1070" w:val="left"/>
        </w:tabs>
        <w:bidi w:val="0"/>
        <w:spacing w:before="0" w:after="0" w:line="276" w:lineRule="auto"/>
        <w:ind w:left="0" w:right="0" w:firstLine="720"/>
        <w:jc w:val="both"/>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В соответствии с ч.2 ст.33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 xml:space="preserve">1. В составе жалобы Заявитель указывает, что Заказчиком в п. 2 Технического задания установлено неправомерное требование, влекущее за собой ограничение количества участников закупки, а именно: «Сметный расчет должен быть подписан и заверен </w:t>
      </w:r>
      <w:r>
        <w:rPr>
          <w:i/>
          <w:iCs/>
          <w:color w:val="000000"/>
          <w:spacing w:val="0"/>
          <w:w w:val="100"/>
          <w:position w:val="0"/>
          <w:shd w:val="clear" w:color="auto" w:fill="auto"/>
          <w:lang w:val="ru-RU" w:eastAsia="ru-RU" w:bidi="ru-RU"/>
        </w:rPr>
        <w:t>именной печатью специалиста</w:t>
      </w:r>
      <w:r>
        <w:rPr>
          <w:color w:val="000000"/>
          <w:spacing w:val="0"/>
          <w:w w:val="100"/>
          <w:position w:val="0"/>
          <w:shd w:val="clear" w:color="auto" w:fill="auto"/>
          <w:lang w:val="ru-RU" w:eastAsia="ru-RU" w:bidi="ru-RU"/>
        </w:rPr>
        <w:t xml:space="preserve"> Исполнителя. Копии документов, подтверждающих квалификацию работника Исполнителя, заверенные в установленном порядке, передаются Заказчику».</w:t>
      </w:r>
    </w:p>
    <w:p>
      <w:pPr>
        <w:pStyle w:val="Style6"/>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согласно нормам гражданского законодательства от имени юридического лица вправе действовать его руководитель - без доверенности и любое другое лицо - на основании доверенности, выданной руководителем организации, при этом любой другой сотрудник организации вправе подписать акт выполненных работ только в том случае, если такой имеет соответствующую доверенность.</w:t>
      </w:r>
    </w:p>
    <w:p>
      <w:pPr>
        <w:pStyle w:val="Style6"/>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 xml:space="preserve">Наличие специальных должностных полномочий для подписи Акта выполненных работ, установленных должностной инструкцией, трудовым договором или приказом руководителя организации обязательно должны быть удостоверены и </w:t>
      </w:r>
      <w:r>
        <w:rPr>
          <w:color w:val="000000"/>
          <w:spacing w:val="0"/>
          <w:w w:val="100"/>
          <w:position w:val="0"/>
          <w:shd w:val="clear" w:color="auto" w:fill="auto"/>
          <w:lang w:val="ru-RU" w:eastAsia="ru-RU" w:bidi="ru-RU"/>
        </w:rPr>
        <w:t>доверенностью, поскольку по правилам гражданского законодательства только доверенность (а не локальные акты организации) является надлежащим доказательством полномочий представителя в отношениях с третьими лицами.</w:t>
      </w:r>
    </w:p>
    <w:p>
      <w:pPr>
        <w:pStyle w:val="Style6"/>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Более того руководитель хозяйствующего субъекта может утверждать перечни лиц, которые наделены правом подписи первичных учетных документов, но само установление в должностных обязанностях (инструкциях), трудовом договоре, приказе руководителя такого права не отменяет необходимость оформления соответствующей доверенности, если данные учетные документы используются для оформления отношений с третьими лицами.</w:t>
      </w:r>
    </w:p>
    <w:p>
      <w:pPr>
        <w:pStyle w:val="Style6"/>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Таким образом, действующие нормы законодательства, нормативно-правовые акты в сферах трудовых отношений, государственной гражданской службы, градостроительной и закупочной деятельности в их совокупном толковании, указывают, что предоставление права подписи Актов выполненных работ на основании доверенности, выданной руководителем организации, должно осуществляться с учетом ряда дополнительных требований и в отношении определенного круга должностных лиц или работников, а не в отношении любого другого сотрудника организации.</w:t>
      </w:r>
    </w:p>
    <w:p>
      <w:pPr>
        <w:pStyle w:val="Style6"/>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В свою очередь, Комиссия Управления отмечает, что в своих возражениях представитель Заказчика поясняет, что оспариваемое требование установлено в отношении Актов выполненных работ, при этом согласно Техническому заданию требование к подписи и заверении именной печатью специалиста Исполнителя установлено в отношении сметного расчета.</w:t>
      </w:r>
    </w:p>
    <w:p>
      <w:pPr>
        <w:pStyle w:val="Style6"/>
        <w:keepNext w:val="0"/>
        <w:keepLines w:val="0"/>
        <w:widowControl w:val="0"/>
        <w:shd w:val="clear" w:color="auto" w:fill="auto"/>
        <w:bidi w:val="0"/>
        <w:spacing w:before="0" w:after="0" w:line="276" w:lineRule="auto"/>
        <w:ind w:left="0" w:right="0" w:firstLine="720"/>
        <w:jc w:val="both"/>
      </w:pPr>
      <w:r>
        <w:rPr>
          <w:color w:val="000000"/>
          <w:spacing w:val="0"/>
          <w:w w:val="100"/>
          <w:position w:val="0"/>
          <w:shd w:val="clear" w:color="auto" w:fill="auto"/>
          <w:lang w:val="ru-RU" w:eastAsia="ru-RU" w:bidi="ru-RU"/>
        </w:rPr>
        <w:t>Вместе с тем Комиссия Управления отмечает, что действующим законодательством не предусмотрено установление оспариваемого требования в Техническом задании, при этом Заказчиком в составе возражений, а также на заседании Комиссии Управления не представлено документов и сведений, свидетельствующих о правомерном установлении требования к подписи и именной печати специалиста Исполнителя в отношении сметного расчета.</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на основании имеющихся документов и сведений, Комиссия Управления приходит к выводу об обоснованности указанного довода жалобы и о нарушении Заказчиком положений п.1 ч.1 ст.33 Закона о контрактной системе при формировании требований извещения об осуществлении закупки, что содержит признаки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 Также в составе жалобы Заявитель указывает, что Заказчиком неправомерно установлено требование к Исполнителю о получении положительного заключения в Государственном автономном учреждении города Москвы «Московская государственная экспертиза», поскольку проектирование АУПС и СОУЭ на данном объекте не осуществляется в рамках строительства, реконструкции, капитального ремонта объекта капитального строительства. При этом основным требованием при проектировании на объекте, введенном в эксплуатацию, является исключительно наличие аттестата проектировщика с включением в реестр аттестованных лиц в соответствии с требованиями Федерального закона «О пожарной безопасности» от</w:t>
      </w:r>
    </w:p>
    <w:p>
      <w:pPr>
        <w:pStyle w:val="Style6"/>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21.12.1994 № 69-ФЗ и Постановления Правительства РФ «О порядке аттестации физических лиц на право проектирования средств обеспечения пожарной безопасности зданий и сооружений, которые введены в эксплуатацию» от 30.11.2021 № 2106.</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Комиссией Управления установлено, что в Приложение 1 к Техническому заданию «Перечень работ по разработке проектно-сметной документации для автоматической установки пожарной сигнализации и системы оповещения и управления эвакуацией людей в случае возникновения пожара и автоматической установки пожаротушения на объекте ГБУЗ «ПНД № 22 ДЗМ» Заказчиком установлено следующее требование:</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«Получение положительного заключения в Государственном автономном учреждении города Москвы «Московская государственная экспертиза» осуществляется Исполнителем:</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Результатом государственной экспертизы ПД является заключение о соответствии (положительное заключение) ПД требованиям технических регламентов и технического задания на проектирование. Требования к составу, содержанию и порядку оформления заключения государственной экспертизы устанавливаются Министерством строительства и жилищно-коммунального хозяйства Российской Федерации».</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основной целью государственных экспертов является оценка проектной документации и результатов, инженерных изысканий на предмет соответствия установленным требованиям и стандартам, прописанным в ГОСТах, СНиПах, технических и градостроительных регламентах, а также других нормативных документах.</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Безопасность зданий и сооружений, а также связанных со зданиями и сооружениями процессов проектирования (включая изыскания), строительства, монтажа, наладки, эксплуатации и утилизации (сноса) обеспечивается посредством соблюдения требований Федерального закона от 30.12.2009 № 384-ФЗ «Технический регламент о безопасности зданий и сооружений» и требований стандартов и сводов правил.</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пункта 6 части 1 статьи 2 Федерального закона «Технический регламент о безопасности зданий и сооружений» от 30.12.2009 № 384-ФЗ определено значение термина «здание»: «здание - результат строительства, представляющий собой объемную строительную систем) надземную и (или) подземную части, включающую в себя помещения, сети инженерно-технического обеспечения и системы инженерно</w:t>
        <w:softHyphen/>
        <w:t>технического обеспечения и предназначенную для проживания и (или) деятельности людей, размещения производства, хранения продукции или содержания животных».</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пункту 21 части 2 статьи 2 Федерального закона от 30.12.2009 № 384- ФЗ «Технический регламент о безопасности зданий и сооружений» система инженерно-технического обеспечения - это одна из систем здания или сооружения, предназначенная для выполнения функций водоснабжения, канализации, отопления, вентиляции, кондиционирования воздуха, газоснабжения, электрообеспечения, связи, информатизации, диспетчеризации, мусороудаления, вертикального транспорта (лифты, эскалаторы) или функций обеспечения безопасности».</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Кроме того, в соответствии с Постановлением Правительства 2120 от 30 ноября 2021 определены виды работ, по которым осуществляется замена и (или) восстановление отдельных элементов строительной конструкции зданий, сооружений, элементов систем инженерно-технического обеспечения, ввиду чего исходя из данного постановления можно сделать вывод о том, что замена систем противопожарной защиты (системы инженерно-технического обеспечения) необходимо выполнять исключительно в рамках капитального ремонта.</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свою очередь, Комиссия Управления отмечает, что в соответствии с ч.1 ст.49 Градостроительного кодекса Российской Федерации от 29.12.2004 № 190-ФЗ (далее — ГрК РФ)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частями 2, 3, 3.1 и 3.8 ст.49.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технический заказчик или лицо, обеспечившее выполнение инженерных изысканий и (или) подготовку проектной документации в случаях, предусмотренных частями 1.1 и 1.2 статьи 48 ГрК РФ,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 5 Постановления Правительства РФ от 05.03.2007 № 145 «О порядке организации и проведения государственной экспертизы проектной документации и результатов инженерных изысканий» (далее - Положение о госэкспертизе проектной документации) государственная экспертиза проектной документации проводится, когда:</w:t>
      </w:r>
    </w:p>
    <w:p>
      <w:pPr>
        <w:pStyle w:val="Style6"/>
        <w:keepNext w:val="0"/>
        <w:keepLines w:val="0"/>
        <w:widowControl w:val="0"/>
        <w:numPr>
          <w:ilvl w:val="0"/>
          <w:numId w:val="5"/>
        </w:numPr>
        <w:shd w:val="clear" w:color="auto" w:fill="auto"/>
        <w:tabs>
          <w:tab w:pos="1421" w:val="left"/>
        </w:tabs>
        <w:bidi w:val="0"/>
        <w:spacing w:before="0" w:after="0"/>
        <w:ind w:left="0" w:right="0" w:firstLine="720"/>
        <w:jc w:val="both"/>
      </w:pPr>
      <w:r>
        <w:rPr>
          <w:color w:val="000000"/>
          <w:spacing w:val="0"/>
          <w:w w:val="100"/>
          <w:position w:val="0"/>
          <w:shd w:val="clear" w:color="auto" w:fill="auto"/>
          <w:lang w:val="ru-RU" w:eastAsia="ru-RU" w:bidi="ru-RU"/>
        </w:rPr>
        <w:t>она обязательна. Это следующие два случая, когда документация подготовлена в отношении:</w:t>
      </w:r>
    </w:p>
    <w:p>
      <w:pPr>
        <w:pStyle w:val="Style6"/>
        <w:keepNext w:val="0"/>
        <w:keepLines w:val="0"/>
        <w:widowControl w:val="0"/>
        <w:numPr>
          <w:ilvl w:val="0"/>
          <w:numId w:val="7"/>
        </w:numPr>
        <w:shd w:val="clear" w:color="auto" w:fill="auto"/>
        <w:tabs>
          <w:tab w:pos="1421" w:val="left"/>
        </w:tabs>
        <w:bidi w:val="0"/>
        <w:spacing w:before="0" w:after="0"/>
        <w:ind w:left="0" w:right="0" w:firstLine="720"/>
        <w:jc w:val="both"/>
      </w:pPr>
      <w:r>
        <w:rPr>
          <w:color w:val="000000"/>
          <w:spacing w:val="0"/>
          <w:w w:val="100"/>
          <w:position w:val="0"/>
          <w:shd w:val="clear" w:color="auto" w:fill="auto"/>
          <w:lang w:val="ru-RU" w:eastAsia="ru-RU" w:bidi="ru-RU"/>
        </w:rPr>
        <w:t>объектов, по которым госэкспертиза обязательна и которые перечислены в ч. 3.4 ст. 49 ГрК РФ;</w:t>
      </w:r>
    </w:p>
    <w:p>
      <w:pPr>
        <w:pStyle w:val="Style6"/>
        <w:keepNext w:val="0"/>
        <w:keepLines w:val="0"/>
        <w:widowControl w:val="0"/>
        <w:numPr>
          <w:ilvl w:val="0"/>
          <w:numId w:val="7"/>
        </w:numPr>
        <w:shd w:val="clear" w:color="auto" w:fill="auto"/>
        <w:tabs>
          <w:tab w:pos="1421" w:val="left"/>
        </w:tabs>
        <w:bidi w:val="0"/>
        <w:spacing w:before="0" w:after="0"/>
        <w:ind w:left="0" w:right="0" w:firstLine="720"/>
        <w:jc w:val="both"/>
      </w:pPr>
      <w:r>
        <w:rPr>
          <w:color w:val="000000"/>
          <w:spacing w:val="0"/>
          <w:w w:val="100"/>
          <w:position w:val="0"/>
          <w:shd w:val="clear" w:color="auto" w:fill="auto"/>
          <w:lang w:val="ru-RU" w:eastAsia="ru-RU" w:bidi="ru-RU"/>
        </w:rPr>
        <w:t>объектов, которые отнесены к числу тех, по которым экспертиза не проводится или для строительства или реконструкции которых не нужно получать разрешение на строительство, но при этом сметная стоимость подлежит проверке на предмет достоверности ее определения в соответствии с установленными требованиями ГрК РФ (п. 1 ч. 3.3 ст. 49 ГрК РФ);</w:t>
      </w:r>
    </w:p>
    <w:p>
      <w:pPr>
        <w:pStyle w:val="Style6"/>
        <w:keepNext w:val="0"/>
        <w:keepLines w:val="0"/>
        <w:widowControl w:val="0"/>
        <w:numPr>
          <w:ilvl w:val="0"/>
          <w:numId w:val="5"/>
        </w:numPr>
        <w:shd w:val="clear" w:color="auto" w:fill="auto"/>
        <w:tabs>
          <w:tab w:pos="1421" w:val="left"/>
        </w:tabs>
        <w:bidi w:val="0"/>
        <w:spacing w:before="0" w:after="0"/>
        <w:ind w:left="0" w:right="0" w:firstLine="720"/>
        <w:jc w:val="both"/>
      </w:pPr>
      <w:r>
        <w:rPr>
          <w:color w:val="000000"/>
          <w:spacing w:val="0"/>
          <w:w w:val="100"/>
          <w:position w:val="0"/>
          <w:shd w:val="clear" w:color="auto" w:fill="auto"/>
          <w:lang w:val="ru-RU" w:eastAsia="ru-RU" w:bidi="ru-RU"/>
        </w:rPr>
        <w:t>проведение экспертизы проектной документации (государственной или негосударственной) является обязательным, но не указано, что обязательна именно госэкспертиза. При этом застройщик, технический заказчик или лицо, обеспечившее выполнение инженерных изысканий и (или) подготовку проектной документации в соответствии с ч. 1.1, 1.2 ст. 48 ГрК РФ, приняли решение о проведении именно госэкспертизы;</w:t>
      </w:r>
    </w:p>
    <w:p>
      <w:pPr>
        <w:pStyle w:val="Style6"/>
        <w:keepNext w:val="0"/>
        <w:keepLines w:val="0"/>
        <w:widowControl w:val="0"/>
        <w:numPr>
          <w:ilvl w:val="0"/>
          <w:numId w:val="5"/>
        </w:numPr>
        <w:shd w:val="clear" w:color="auto" w:fill="auto"/>
        <w:tabs>
          <w:tab w:pos="1421" w:val="left"/>
        </w:tabs>
        <w:bidi w:val="0"/>
        <w:spacing w:before="0" w:after="0"/>
        <w:ind w:left="0" w:right="0" w:firstLine="720"/>
        <w:jc w:val="both"/>
      </w:pPr>
      <w:r>
        <w:rPr>
          <w:color w:val="000000"/>
          <w:spacing w:val="0"/>
          <w:w w:val="100"/>
          <w:position w:val="0"/>
          <w:shd w:val="clear" w:color="auto" w:fill="auto"/>
          <w:lang w:val="ru-RU" w:eastAsia="ru-RU" w:bidi="ru-RU"/>
        </w:rPr>
        <w:t>проведение экспертизы не является обязательным в соответствии с ч. 2, 3, 3.1 ст. 49 ГрК РФ, однако заявитель решил направить документы на госэкспертизу;</w:t>
      </w:r>
    </w:p>
    <w:p>
      <w:pPr>
        <w:pStyle w:val="Style6"/>
        <w:keepNext w:val="0"/>
        <w:keepLines w:val="0"/>
        <w:widowControl w:val="0"/>
        <w:numPr>
          <w:ilvl w:val="0"/>
          <w:numId w:val="5"/>
        </w:numPr>
        <w:shd w:val="clear" w:color="auto" w:fill="auto"/>
        <w:tabs>
          <w:tab w:pos="1421" w:val="left"/>
        </w:tabs>
        <w:bidi w:val="0"/>
        <w:spacing w:before="0" w:after="0"/>
        <w:ind w:left="0" w:right="0" w:firstLine="720"/>
        <w:jc w:val="both"/>
      </w:pPr>
      <w:r>
        <w:rPr>
          <w:color w:val="000000"/>
          <w:spacing w:val="0"/>
          <w:w w:val="100"/>
          <w:position w:val="0"/>
          <w:shd w:val="clear" w:color="auto" w:fill="auto"/>
          <w:lang w:val="ru-RU" w:eastAsia="ru-RU" w:bidi="ru-RU"/>
        </w:rPr>
        <w:t>заявитель принял решение о проведении экспертного сопровождения в соответствии с ч. 3.9 ст. 49 ГрК РФ.</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ввиду того, что согласно п. 5 Положений о госэкспертизе проектной документации проведение экспертизы не является обязательным в соответствии с ч. 2, 3, 3.1 ст. 49 ГрК РФ, при этом Заказчик имеет право направить документы на госэкспертизу, Заказчиком в данном случае на основании своей потребности установлено требование к Исполнителю о получение положительного заключения в Государственном автономном учреждении города Москвы «Московская государственная экспертиза».</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основании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вышеуказанной нормы обязанность доказывания нарушения Заказчиком своих прав и законных интересов лежит на подателе жалобы, однако, на заседании Комиссии Управления представитель Заявителя отсутствовал, а также в составе жалобы Заявителем не представлены документы и сведения, свидетельствующие об ограничении количества участников закупки, а также о невозможности формирования заявки на участие в данном аукционе, а также сведений, свидетельствующих о нарушении Заказчиком норм Закона о контрактной системе при установлении оспариваемого требования к Исполнителю.</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указанный довод жалобы Заявителя не нашел своего подтверждения и является необоснованным.</w:t>
      </w:r>
    </w:p>
    <w:p>
      <w:pPr>
        <w:pStyle w:val="Style6"/>
        <w:keepNext w:val="0"/>
        <w:keepLines w:val="0"/>
        <w:widowControl w:val="0"/>
        <w:shd w:val="clear" w:color="auto" w:fill="auto"/>
        <w:bidi w:val="0"/>
        <w:spacing w:before="0" w:after="0"/>
        <w:ind w:left="0" w:right="0" w:firstLine="72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02" w:right="537" w:bottom="982" w:left="1106"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3"/>
        <w:keepNext/>
        <w:keepLines/>
        <w:widowControl w:val="0"/>
        <w:shd w:val="clear" w:color="auto" w:fill="auto"/>
        <w:bidi w:val="0"/>
        <w:spacing w:before="0" w:after="260" w:line="257" w:lineRule="auto"/>
        <w:ind w:left="0" w:right="0" w:firstLine="0"/>
        <w:jc w:val="center"/>
      </w:pPr>
      <w:bookmarkStart w:id="8" w:name="bookmark8"/>
      <w:r>
        <w:rPr>
          <w:color w:val="000000"/>
          <w:spacing w:val="0"/>
          <w:w w:val="100"/>
          <w:position w:val="0"/>
          <w:shd w:val="clear" w:color="auto" w:fill="auto"/>
          <w:lang w:val="ru-RU" w:eastAsia="ru-RU" w:bidi="ru-RU"/>
        </w:rPr>
        <w:t>Р Е Ш И Л А :</w:t>
      </w:r>
      <w:bookmarkEnd w:id="8"/>
    </w:p>
    <w:p>
      <w:pPr>
        <w:pStyle w:val="Style6"/>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1.Признать жалобу ООО «Комби» на действия ГБУЗ «ПНД № 22 ДЗМ» обоснованной в части установления неправомерного требования к специалисту Исполнителя о наличии в сметном расчете подписи и заверенной именной печати.</w:t>
      </w:r>
    </w:p>
    <w:p>
      <w:pPr>
        <w:pStyle w:val="Style6"/>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2.Признать в действиях Заказчика нарушения п.1 ч.1 ст.33 Закона о контрактной системе.</w:t>
      </w:r>
    </w:p>
    <w:p>
      <w:pPr>
        <w:pStyle w:val="Style6"/>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shd w:val="clear" w:color="auto" w:fill="auto"/>
        <w:bidi w:val="0"/>
        <w:spacing w:before="0" w:after="260" w:line="257"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3644" w:left="1106" w:header="0" w:footer="3" w:gutter="0"/>
          <w:cols w:space="720"/>
          <w:noEndnote/>
          <w:rtlGutter w:val="0"/>
          <w:docGrid w:linePitch="360"/>
        </w:sectPr>
      </w:pPr>
      <w:r>
        <mc:AlternateContent>
          <mc:Choice Requires="wps">
            <w:drawing>
              <wp:anchor distT="127000" distB="356870" distL="0" distR="0" simplePos="0" relativeHeight="125829381" behindDoc="0" locked="0" layoutInCell="1" allowOverlap="1">
                <wp:simplePos x="0" y="0"/>
                <wp:positionH relativeFrom="page">
                  <wp:posOffset>735965</wp:posOffset>
                </wp:positionH>
                <wp:positionV relativeFrom="paragraph">
                  <wp:posOffset>127000</wp:posOffset>
                </wp:positionV>
                <wp:extent cx="1850390" cy="252730"/>
                <wp:wrapTopAndBottom/>
                <wp:docPr id="11" name="Shape 11"/>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7" type="#_x0000_t202" style="position:absolute;margin-left:57.950000000000003pt;margin-top:10.pt;width:145.70000000000002pt;height:19.900000000000002pt;z-index:-125829372;mso-wrap-distance-left:0;mso-wrap-distance-top:10.pt;mso-wrap-distance-right:0;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Председательствующий</w:t>
                      </w:r>
                    </w:p>
                  </w:txbxContent>
                </v:textbox>
                <w10:wrap type="topAndBottom" anchorx="page"/>
              </v:shape>
            </w:pict>
          </mc:Fallback>
        </mc:AlternateContent>
      </w:r>
      <w:r>
        <w:drawing>
          <wp:anchor distT="166370" distB="0" distL="0" distR="1789430" simplePos="0" relativeHeight="125829383" behindDoc="0" locked="0" layoutInCell="1" allowOverlap="1">
            <wp:simplePos x="0" y="0"/>
            <wp:positionH relativeFrom="page">
              <wp:posOffset>3074035</wp:posOffset>
            </wp:positionH>
            <wp:positionV relativeFrom="paragraph">
              <wp:posOffset>166370</wp:posOffset>
            </wp:positionV>
            <wp:extent cx="389890" cy="57277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601980</wp:posOffset>
                </wp:positionV>
                <wp:extent cx="1280160" cy="103505"/>
                <wp:wrapNone/>
                <wp:docPr id="15" name="Shape 1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6E6E6"/>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1" type="#_x0000_t202" style="position:absolute;margin-left:281.15000000000003pt;margin-top:47.399999999999999pt;width:100.8pt;height:8.15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6E6E6"/>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6E6E6"/>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291465</wp:posOffset>
                </wp:positionV>
                <wp:extent cx="1725295" cy="255905"/>
                <wp:wrapNone/>
                <wp:docPr id="17" name="Shape 1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77.55000000000001pt;margin-top:22.949999999999999pt;width:135.84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870" distL="0" distR="0" simplePos="0" relativeHeight="125829384" behindDoc="0" locked="0" layoutInCell="1" allowOverlap="1">
                <wp:simplePos x="0" y="0"/>
                <wp:positionH relativeFrom="page">
                  <wp:posOffset>6039485</wp:posOffset>
                </wp:positionH>
                <wp:positionV relativeFrom="paragraph">
                  <wp:posOffset>127000</wp:posOffset>
                </wp:positionV>
                <wp:extent cx="1182370" cy="252730"/>
                <wp:wrapTopAndBottom/>
                <wp:docPr id="19" name="Shape 19"/>
                <a:graphic xmlns:a="http://schemas.openxmlformats.org/drawingml/2006/main">
                  <a:graphicData uri="http://schemas.microsoft.com/office/word/2010/wordprocessingShape">
                    <wps:wsp>
                      <wps:cNvSpPr txBox="1"/>
                      <wps:spPr>
                        <a:xfrm>
                          <a:ext cx="11823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5" type="#_x0000_t202" style="position:absolute;margin-left:475.55000000000001pt;margin-top:10.pt;width:93.100000000000009pt;height:19.900000000000002pt;z-index:-125829369;mso-wrap-distance-left:0;mso-wrap-distance-top:10.pt;mso-wrap-distance-right:0;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Е.А. Миронова</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666666"/>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4"/>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color w:val="2A2A2A"/>
          <w:spacing w:val="0"/>
          <w:w w:val="100"/>
          <w:position w:val="0"/>
          <w:shd w:val="clear" w:color="auto" w:fill="auto"/>
          <w:lang w:val="ru-RU" w:eastAsia="ru-RU" w:bidi="ru-RU"/>
        </w:rPr>
        <w:t>00Е9СРАА6ОО6САО20О424А9502ЕС296Е8</w:t>
      </w:r>
      <w:r>
        <w:rPr>
          <w:color w:val="2A2A2A"/>
          <w:spacing w:val="0"/>
          <w:w w:val="100"/>
          <w:position w:val="0"/>
          <w:shd w:val="clear" w:color="auto" w:fill="auto"/>
          <w:lang w:val="ru-RU" w:eastAsia="ru-RU" w:bidi="ru-RU"/>
        </w:rPr>
        <w:t>1</w:t>
      </w:r>
    </w:p>
    <w:p>
      <w:pPr>
        <w:pStyle w:val="Style24"/>
        <w:keepNext w:val="0"/>
        <w:keepLines w:val="0"/>
        <w:widowControl w:val="0"/>
        <w:shd w:val="clear" w:color="auto" w:fill="auto"/>
        <w:bidi w:val="0"/>
        <w:spacing w:before="0" w:after="280" w:line="240" w:lineRule="auto"/>
        <w:ind w:right="0" w:firstLine="0"/>
        <w:jc w:val="left"/>
      </w:pPr>
      <w:r>
        <w:rPr>
          <w:color w:val="66666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A2A2A"/>
          <w:spacing w:val="0"/>
          <w:w w:val="100"/>
          <w:position w:val="0"/>
          <w:shd w:val="clear" w:color="auto" w:fill="auto"/>
          <w:lang w:val="ru-RU" w:eastAsia="ru-RU" w:bidi="ru-RU"/>
        </w:rPr>
        <w:t xml:space="preserve">22.12.2022 </w:t>
      </w:r>
      <w:r>
        <w:rPr>
          <w:color w:val="7D7D7D"/>
          <w:spacing w:val="0"/>
          <w:w w:val="100"/>
          <w:position w:val="0"/>
          <w:shd w:val="clear" w:color="auto" w:fill="auto"/>
          <w:lang w:val="ru-RU" w:eastAsia="ru-RU" w:bidi="ru-RU"/>
        </w:rPr>
        <w:t xml:space="preserve">по </w:t>
      </w:r>
      <w:r>
        <w:rPr>
          <w:color w:val="666666"/>
          <w:spacing w:val="0"/>
          <w:w w:val="100"/>
          <w:position w:val="0"/>
          <w:shd w:val="clear" w:color="auto" w:fill="auto"/>
          <w:lang w:val="ru-RU" w:eastAsia="ru-RU" w:bidi="ru-RU"/>
        </w:rPr>
        <w:t>16.03.2024</w:t>
      </w:r>
    </w:p>
    <w:p>
      <w:pPr>
        <w:pStyle w:val="Style6"/>
        <w:keepNext w:val="0"/>
        <w:keepLines w:val="0"/>
        <w:widowControl w:val="0"/>
        <w:shd w:val="clear" w:color="auto" w:fill="auto"/>
        <w:bidi w:val="0"/>
        <w:spacing w:before="0" w:after="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pStyle w:val="Style6"/>
        <w:keepNext w:val="0"/>
        <w:keepLines w:val="0"/>
        <w:widowControl w:val="0"/>
        <w:shd w:val="clear" w:color="auto" w:fill="auto"/>
        <w:bidi w:val="0"/>
        <w:spacing w:before="0" w:after="390" w:line="240" w:lineRule="auto"/>
        <w:ind w:left="0" w:right="0" w:firstLine="820"/>
        <w:jc w:val="left"/>
        <w:rPr>
          <w:sz w:val="28"/>
          <w:szCs w:val="28"/>
        </w:rPr>
      </w:pPr>
      <w:r>
        <w:drawing>
          <wp:anchor distT="0" distB="0" distL="114300" distR="1921510" simplePos="0" relativeHeight="125829386" behindDoc="0" locked="0" layoutInCell="1" allowOverlap="1">
            <wp:simplePos x="0" y="0"/>
            <wp:positionH relativeFrom="page">
              <wp:posOffset>3131820</wp:posOffset>
            </wp:positionH>
            <wp:positionV relativeFrom="paragraph">
              <wp:posOffset>76200</wp:posOffset>
            </wp:positionV>
            <wp:extent cx="311150" cy="36576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146050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55000000000001pt;margin-top:11.5pt;width:135.84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А.А. Матюшенко</w:t>
      </w:r>
    </w:p>
    <w:p>
      <w:pPr>
        <w:pStyle w:val="Style31"/>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666666"/>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24"/>
        <w:keepNext w:val="0"/>
        <w:keepLines w:val="0"/>
        <w:widowControl w:val="0"/>
        <w:shd w:val="clear" w:color="auto" w:fill="auto"/>
        <w:bidi w:val="0"/>
        <w:spacing w:before="0" w:after="0" w:line="240" w:lineRule="auto"/>
        <w:ind w:right="0" w:firstLine="0"/>
        <w:jc w:val="left"/>
      </w:pPr>
      <w:r>
        <w:rPr>
          <w:color w:val="2A2A2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44СЕО19О689ЕВ23598ВССВР99Е1С6Е2С</w:t>
      </w:r>
    </w:p>
    <w:p>
      <w:pPr>
        <w:pStyle w:val="Style24"/>
        <w:keepNext w:val="0"/>
        <w:keepLines w:val="0"/>
        <w:widowControl w:val="0"/>
        <w:shd w:val="clear" w:color="auto" w:fill="auto"/>
        <w:bidi w:val="0"/>
        <w:spacing w:before="0" w:after="280" w:line="240" w:lineRule="auto"/>
        <w:ind w:right="0" w:firstLine="0"/>
        <w:jc w:val="left"/>
      </w:pPr>
      <w:r>
        <w:rPr>
          <w:color w:val="666666"/>
          <w:spacing w:val="0"/>
          <w:w w:val="100"/>
          <w:position w:val="0"/>
          <w:shd w:val="clear" w:color="auto" w:fill="auto"/>
          <w:lang w:val="ru-RU" w:eastAsia="ru-RU" w:bidi="ru-RU"/>
        </w:rPr>
        <w:t xml:space="preserve">Действителен </w:t>
      </w:r>
      <w:r>
        <w:rPr>
          <w:color w:val="2A2A2A"/>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10.04.2023 </w:t>
      </w:r>
      <w:r>
        <w:rPr>
          <w:color w:val="666666"/>
          <w:spacing w:val="0"/>
          <w:w w:val="100"/>
          <w:position w:val="0"/>
          <w:shd w:val="clear" w:color="auto" w:fill="auto"/>
          <w:lang w:val="ru-RU" w:eastAsia="ru-RU" w:bidi="ru-RU"/>
        </w:rPr>
        <w:t>по 03.07.2024</w:t>
      </w:r>
    </w:p>
    <w:p>
      <w:pPr>
        <w:pStyle w:val="Style6"/>
        <w:keepNext w:val="0"/>
        <w:keepLines w:val="0"/>
        <w:widowControl w:val="0"/>
        <w:shd w:val="clear" w:color="auto" w:fill="auto"/>
        <w:bidi w:val="0"/>
        <w:spacing w:before="0" w:after="390" w:line="240" w:lineRule="auto"/>
        <w:ind w:left="0" w:right="0" w:firstLine="820"/>
        <w:jc w:val="left"/>
        <w:rPr>
          <w:sz w:val="28"/>
          <w:szCs w:val="28"/>
        </w:rPr>
      </w:pPr>
      <w:r>
        <w:drawing>
          <wp:anchor distT="0" distB="0" distL="114300" distR="1903730" simplePos="0" relativeHeight="125829387" behindDoc="0" locked="0" layoutInCell="1" allowOverlap="1">
            <wp:simplePos x="0" y="0"/>
            <wp:positionH relativeFrom="page">
              <wp:posOffset>3107055</wp:posOffset>
            </wp:positionH>
            <wp:positionV relativeFrom="paragraph">
              <wp:posOffset>63500</wp:posOffset>
            </wp:positionV>
            <wp:extent cx="353695" cy="39624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353695"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3524885</wp:posOffset>
                </wp:positionH>
                <wp:positionV relativeFrom="paragraph">
                  <wp:posOffset>154940</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55000000000001pt;margin-top:12.200000000000001pt;width:135.84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Е.Д. Мартьянова</w:t>
      </w:r>
    </w:p>
    <w:p>
      <w:pPr>
        <w:pStyle w:val="Style31"/>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E6E6E6"/>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666666"/>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Мартьянова Елена Дмитриевна</w:t>
      </w:r>
    </w:p>
    <w:p>
      <w:pPr>
        <w:pStyle w:val="Style24"/>
        <w:keepNext w:val="0"/>
        <w:keepLines w:val="0"/>
        <w:widowControl w:val="0"/>
        <w:shd w:val="clear" w:color="auto" w:fill="auto"/>
        <w:bidi w:val="0"/>
        <w:spacing w:before="0" w:after="0" w:line="240" w:lineRule="auto"/>
        <w:ind w:right="0" w:firstLine="0"/>
        <w:jc w:val="left"/>
      </w:pPr>
      <w:r>
        <w:rPr>
          <w:color w:val="2A2A2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0092302А1Е2Е82694604ЕЕР7722П2557ЕЕ</w:t>
      </w:r>
    </w:p>
    <w:p>
      <w:pPr>
        <w:pStyle w:val="Style24"/>
        <w:keepNext w:val="0"/>
        <w:keepLines w:val="0"/>
        <w:widowControl w:val="0"/>
        <w:shd w:val="clear" w:color="auto" w:fill="auto"/>
        <w:bidi w:val="0"/>
        <w:spacing w:before="0" w:after="680" w:line="240" w:lineRule="auto"/>
        <w:ind w:right="0" w:firstLine="0"/>
        <w:jc w:val="left"/>
      </w:pPr>
      <w:r>
        <w:rPr>
          <w:color w:val="666666"/>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A2A2A"/>
          <w:spacing w:val="0"/>
          <w:w w:val="100"/>
          <w:position w:val="0"/>
          <w:shd w:val="clear" w:color="auto" w:fill="auto"/>
          <w:lang w:val="ru-RU" w:eastAsia="ru-RU" w:bidi="ru-RU"/>
        </w:rPr>
        <w:t xml:space="preserve">05.12.2023 </w:t>
      </w:r>
      <w:r>
        <w:rPr>
          <w:color w:val="66666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27.02.2025</w:t>
      </w:r>
    </w:p>
    <w:p>
      <w:pPr>
        <w:pStyle w:val="Style3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 тел.(495) 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10109200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2023-61407</w:t>
                          </w:r>
                        </w:p>
                      </w:txbxContent>
                    </wps:txbx>
                    <wps:bodyPr wrap="none" lIns="0" tIns="0" rIns="0" bIns="0">
                      <a:spAutoFit/>
                    </wps:bodyPr>
                  </wps:wsp>
                </a:graphicData>
              </a:graphic>
            </wp:anchor>
          </w:drawing>
        </mc:Choice>
        <mc:Fallback>
          <w:pict>
            <v:shape id="_x0000_s1033" type="#_x0000_t202" style="position:absolute;margin-left:57.200000000000003pt;margin-top:796.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2023-61407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723265</wp:posOffset>
              </wp:positionH>
              <wp:positionV relativeFrom="page">
                <wp:posOffset>10115550</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2023-61407</w:t>
                          </w:r>
                        </w:p>
                      </w:txbxContent>
                    </wps:txbx>
                    <wps:bodyPr wrap="none" lIns="0" tIns="0" rIns="0" bIns="0">
                      <a:spAutoFit/>
                    </wps:bodyPr>
                  </wps:wsp>
                </a:graphicData>
              </a:graphic>
            </wp:anchor>
          </w:drawing>
        </mc:Choice>
        <mc:Fallback>
          <w:pict>
            <v:shape id="_x0000_s1035" type="#_x0000_t202" style="position:absolute;margin-left:56.950000000000003pt;margin-top:796.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2023-61407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3923665</wp:posOffset>
              </wp:positionH>
              <wp:positionV relativeFrom="page">
                <wp:posOffset>476250</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8.94999999999999pt;margin-top:37.5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6"/>
      <w:szCs w:val="26"/>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2_"/>
    <w:basedOn w:val="DefaultParagraphFont"/>
    <w:link w:val="Style13"/>
    <w:rPr>
      <w:rFonts w:ascii="Times New Roman" w:eastAsia="Times New Roman" w:hAnsi="Times New Roman" w:cs="Times New Roman"/>
      <w:b/>
      <w:bCs/>
      <w:i w:val="0"/>
      <w:iCs w:val="0"/>
      <w:smallCaps w:val="0"/>
      <w:strike w:val="0"/>
      <w:sz w:val="26"/>
      <w:szCs w:val="26"/>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A2A2A"/>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4C4C4C"/>
      <w:sz w:val="12"/>
      <w:szCs w:val="12"/>
      <w:u w:val="none"/>
    </w:rPr>
  </w:style>
  <w:style w:type="character" w:customStyle="1" w:styleId="CharStyle32">
    <w:name w:val="Основной текст (4)_"/>
    <w:basedOn w:val="DefaultParagraphFont"/>
    <w:link w:val="Style31"/>
    <w:rPr>
      <w:rFonts w:ascii="Georgia" w:eastAsia="Georgia" w:hAnsi="Georgia" w:cs="Georgia"/>
      <w:b w:val="0"/>
      <w:bCs w:val="0"/>
      <w:i w:val="0"/>
      <w:iCs w:val="0"/>
      <w:smallCaps w:val="0"/>
      <w:strike w:val="0"/>
      <w:color w:val="EBEBEB"/>
      <w:sz w:val="12"/>
      <w:szCs w:val="12"/>
      <w:u w:val="none"/>
    </w:rPr>
  </w:style>
  <w:style w:type="character" w:customStyle="1" w:styleId="CharStyle35">
    <w:name w:val="Основной текст (5)_"/>
    <w:basedOn w:val="DefaultParagraphFont"/>
    <w:link w:val="Style3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8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6">
    <w:name w:val="Основной текст"/>
    <w:basedOn w:val="Normal"/>
    <w:link w:val="CharStyle7"/>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2"/>
    <w:basedOn w:val="Normal"/>
    <w:link w:val="CharStyle14"/>
    <w:pPr>
      <w:widowControl w:val="0"/>
      <w:shd w:val="clear" w:color="auto" w:fill="auto"/>
      <w:spacing w:line="254" w:lineRule="auto"/>
      <w:jc w:val="center"/>
      <w:outlineLvl w:val="1"/>
    </w:pPr>
    <w:rPr>
      <w:rFonts w:ascii="Times New Roman" w:eastAsia="Times New Roman" w:hAnsi="Times New Roman" w:cs="Times New Roman"/>
      <w:b/>
      <w:bCs/>
      <w:i w:val="0"/>
      <w:iCs w:val="0"/>
      <w:smallCaps w:val="0"/>
      <w:strike w:val="0"/>
      <w:sz w:val="26"/>
      <w:szCs w:val="26"/>
      <w:u w:val="none"/>
    </w:rPr>
  </w:style>
  <w:style w:type="paragraph" w:customStyle="1" w:styleId="Style15">
    <w:name w:val="Заголовок №1"/>
    <w:basedOn w:val="Normal"/>
    <w:link w:val="CharStyle16"/>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A2A2A"/>
      <w:sz w:val="12"/>
      <w:szCs w:val="12"/>
      <w:u w:val="none"/>
    </w:rPr>
  </w:style>
  <w:style w:type="paragraph" w:customStyle="1" w:styleId="Style24">
    <w:name w:val="Основной текст (2)"/>
    <w:basedOn w:val="Normal"/>
    <w:link w:val="CharStyle25"/>
    <w:pPr>
      <w:widowControl w:val="0"/>
      <w:shd w:val="clear" w:color="auto" w:fill="auto"/>
      <w:ind w:left="3820"/>
    </w:pPr>
    <w:rPr>
      <w:rFonts w:ascii="Arial" w:eastAsia="Arial" w:hAnsi="Arial" w:cs="Arial"/>
      <w:b w:val="0"/>
      <w:bCs w:val="0"/>
      <w:i w:val="0"/>
      <w:iCs w:val="0"/>
      <w:smallCaps w:val="0"/>
      <w:strike w:val="0"/>
      <w:color w:val="4C4C4C"/>
      <w:sz w:val="12"/>
      <w:szCs w:val="12"/>
      <w:u w:val="none"/>
    </w:rPr>
  </w:style>
  <w:style w:type="paragraph" w:customStyle="1" w:styleId="Style31">
    <w:name w:val="Основной текст (4)"/>
    <w:basedOn w:val="Normal"/>
    <w:link w:val="CharStyle32"/>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34">
    <w:name w:val="Основной текст (5)"/>
    <w:basedOn w:val="Normal"/>
    <w:link w:val="CharStyle3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