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Забайкальскому краю</w:t>
      </w:r>
    </w:p>
    <w:p>
      <w:pPr>
        <w:pStyle w:val="Style7"/>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Лермонтова, 14, г. Чита, 672076</w:t>
        <w:br/>
        <w:t>почтовый адрес: а/я 803, г. Чита, 672000</w:t>
        <w:br/>
        <w:t>тел. (3022) 35-18-41, факс (3022) 32-12-31</w:t>
      </w:r>
    </w:p>
    <w:p>
      <w:pPr>
        <w:pStyle w:val="Style7"/>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е-та11: 1о75@Га8.§оу.ги</w:t>
      </w:r>
    </w:p>
    <w:p>
      <w:pPr>
        <w:pStyle w:val="Style12"/>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9.12,2023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МГ/5973/2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ООО ЭКОДОМ</w:t>
      </w:r>
    </w:p>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108813, Г.Москва, вн.тер.г. ПОСЕЛЕНИЕ</w:t>
      </w:r>
    </w:p>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МОСКОВСКИЙ, Г. МОСКОВСКИЙ, УЛ</w:t>
      </w:r>
    </w:p>
    <w:p>
      <w:pPr>
        <w:pStyle w:val="Style16"/>
        <w:keepNext w:val="0"/>
        <w:keepLines w:val="0"/>
        <w:widowControl w:val="0"/>
        <w:shd w:val="clear" w:color="auto" w:fill="auto"/>
        <w:bidi w:val="0"/>
        <w:spacing w:before="0" w:after="22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МОСКОВСКАЯ, Д. 3, ПОМЕЩ. 2/1</w:t>
        <w:br/>
        <w:t>екойот97@тай.ги</w:t>
      </w:r>
    </w:p>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ООО Профальянс</w:t>
      </w:r>
    </w:p>
    <w:p>
      <w:pPr>
        <w:pStyle w:val="Style16"/>
        <w:keepNext w:val="0"/>
        <w:keepLines w:val="0"/>
        <w:widowControl w:val="0"/>
        <w:shd w:val="clear" w:color="auto" w:fill="auto"/>
        <w:bidi w:val="0"/>
        <w:spacing w:before="0" w:after="22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672038, г. Чита, проезд Дачный, д. 1А</w:t>
        <w:br/>
        <w:t>ргоГа1уап82019@таП. ги</w:t>
      </w:r>
    </w:p>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ГКУ "Забайкальский центр государственных</w:t>
        <w:br/>
        <w:t>закупок"</w:t>
      </w:r>
    </w:p>
    <w:p>
      <w:pPr>
        <w:pStyle w:val="Style16"/>
        <w:keepNext w:val="0"/>
        <w:keepLines w:val="0"/>
        <w:widowControl w:val="0"/>
        <w:shd w:val="clear" w:color="auto" w:fill="auto"/>
        <w:bidi w:val="0"/>
        <w:spacing w:before="0" w:after="22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672010, Забайкальский край, г. Чита, ул. Амурская,</w:t>
        <w:br/>
        <w:t>д. 13</w:t>
      </w:r>
    </w:p>
    <w:p>
      <w:pPr>
        <w:pStyle w:val="Style16"/>
        <w:keepNext w:val="0"/>
        <w:keepLines w:val="0"/>
        <w:widowControl w:val="0"/>
        <w:shd w:val="clear" w:color="auto" w:fill="auto"/>
        <w:bidi w:val="0"/>
        <w:spacing w:before="0" w:after="22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2аЬдо82акир@до82ак.е-2аЬ.ги;</w:t>
        <w:br/>
        <w:t>поййсайоп8.еф@уапйех.ги</w:t>
      </w:r>
    </w:p>
    <w:p>
      <w:pPr>
        <w:pStyle w:val="Style16"/>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МУНИЦИПАЛЬНОЕ БЮДЖЕТНОЕ</w:t>
        <w:br/>
        <w:t>УЧРЕЖДЕНИЕ "ОЛОВЯННИНСКИЙ ЦЕНТР</w:t>
        <w:br/>
        <w:t>КУЛЬТУРЫ".</w:t>
      </w:r>
    </w:p>
    <w:p>
      <w:pPr>
        <w:pStyle w:val="Style16"/>
        <w:keepNext w:val="0"/>
        <w:keepLines w:val="0"/>
        <w:widowControl w:val="0"/>
        <w:shd w:val="clear" w:color="auto" w:fill="auto"/>
        <w:bidi w:val="0"/>
        <w:spacing w:before="0" w:after="0" w:line="240" w:lineRule="auto"/>
        <w:ind w:left="0" w:right="0" w:firstLine="0"/>
        <w:jc w:val="center"/>
        <w:rPr>
          <w:sz w:val="22"/>
          <w:szCs w:val="22"/>
        </w:rPr>
        <w:sectPr>
          <w:footerReference w:type="default" r:id="rId5"/>
          <w:footerReference w:type="first" r:id="rId6"/>
          <w:footnotePr>
            <w:pos w:val="pageBottom"/>
            <w:numFmt w:val="decimal"/>
            <w:numRestart w:val="continuous"/>
          </w:footnotePr>
          <w:pgSz w:w="11900" w:h="16840"/>
          <w:pgMar w:top="63" w:right="608" w:bottom="1217" w:left="1140" w:header="0" w:footer="3" w:gutter="0"/>
          <w:pgNumType w:start="1"/>
          <w:cols w:num="2" w:space="720" w:equalWidth="0">
            <w:col w:w="4219" w:space="1056"/>
            <w:col w:w="4877"/>
          </w:cols>
          <w:noEndnote/>
          <w:titlePg/>
          <w:rtlGutter w:val="0"/>
          <w:docGrid w:linePitch="360"/>
        </w:sectPr>
      </w:pPr>
      <w:r>
        <w:rPr>
          <w:color w:val="000000"/>
          <w:spacing w:val="0"/>
          <w:w w:val="100"/>
          <w:position w:val="0"/>
          <w:sz w:val="22"/>
          <w:szCs w:val="22"/>
          <w:shd w:val="clear" w:color="auto" w:fill="auto"/>
          <w:lang w:val="ru-RU" w:eastAsia="ru-RU" w:bidi="ru-RU"/>
        </w:rPr>
        <w:t>Российская Федерация, 674500, Забайкальский</w:t>
        <w:br/>
        <w:t>край, УЛ КЛУБНАЯ, Д. 5А</w:t>
        <w:br/>
        <w:t>ро81@о1оууаппауа.е-2аЬ.1Т1</w:t>
      </w:r>
    </w:p>
    <w:p>
      <w:pPr>
        <w:widowControl w:val="0"/>
        <w:spacing w:line="107" w:lineRule="exact"/>
        <w:rPr>
          <w:sz w:val="9"/>
          <w:szCs w:val="9"/>
        </w:rPr>
      </w:pPr>
    </w:p>
    <w:p>
      <w:pPr>
        <w:widowControl w:val="0"/>
        <w:spacing w:line="1" w:lineRule="exact"/>
        <w:sectPr>
          <w:footnotePr>
            <w:pos w:val="pageBottom"/>
            <w:numFmt w:val="decimal"/>
            <w:numRestart w:val="continuous"/>
          </w:footnotePr>
          <w:type w:val="continuous"/>
          <w:pgSz w:w="11900" w:h="16840"/>
          <w:pgMar w:top="101" w:right="0" w:bottom="1179" w:left="0" w:header="0" w:footer="3" w:gutter="0"/>
          <w:cols w:space="720"/>
          <w:noEndnote/>
          <w:rtlGutter w:val="0"/>
          <w:docGrid w:linePitch="360"/>
        </w:sectPr>
      </w:pPr>
    </w:p>
    <w:p>
      <w:pPr>
        <w:pStyle w:val="Style16"/>
        <w:keepNext w:val="0"/>
        <w:keepLines w:val="0"/>
        <w:widowControl w:val="0"/>
        <w:shd w:val="clear" w:color="auto" w:fill="auto"/>
        <w:bidi w:val="0"/>
        <w:spacing w:before="0" w:after="300" w:line="240" w:lineRule="auto"/>
        <w:ind w:left="0" w:right="0" w:firstLine="0"/>
        <w:jc w:val="both"/>
      </w:pPr>
      <w:r>
        <w:rPr>
          <w:color w:val="000000"/>
          <w:spacing w:val="0"/>
          <w:w w:val="100"/>
          <w:position w:val="0"/>
          <w:sz w:val="24"/>
          <w:szCs w:val="24"/>
          <w:shd w:val="clear" w:color="auto" w:fill="auto"/>
          <w:lang w:val="ru-RU" w:eastAsia="ru-RU" w:bidi="ru-RU"/>
        </w:rPr>
        <w:t>Решение по рассмотрению жалобы № 075/06/105-670/2023, 075/06/105-671/2023, 075/06/105-692/2023 о нарушении законодательства при осуществлении закупки</w:t>
      </w:r>
    </w:p>
    <w:p>
      <w:pPr>
        <w:pStyle w:val="Style16"/>
        <w:keepNext w:val="0"/>
        <w:keepLines w:val="0"/>
        <w:widowControl w:val="0"/>
        <w:shd w:val="clear" w:color="auto" w:fill="auto"/>
        <w:tabs>
          <w:tab w:pos="7022"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14декабря 2023 года</w:t>
        <w:tab/>
        <w:t>г. Чита, ул. Лермонтова, 14</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Забайкальского УФАС России по рассмотрению жалоб в сфере закупок в составе: председателя комиссии Гойгова М.Б. руководителя Забайкальского УФАС России, членов комиссии: Осиповой А.О. начальника отдела контроля закупок Забайкальского УФАС России, Китаевой И.С., главного специалиста-эксперта отдела контроля закупок Забайкальского УФАС России, рассмотрев поступившие 07.12.2023 жалобу ООО «МИР БЕТОНА», 08.12.2023 жалобу ООО «ПрофАльянс», 12.12.023 жалобу ООО «Экодом»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уполномоченным учреждением - ГКУ «Забайкальский центр государственных закупок», заказчиком - МУНИЦИПАЛЬНЫМ БЮДЖЕТНЫМ УЧРЕЖДЕНИЕМ «ОЛОВЯННИНСКИЙ ЦЕНТР КУЛЬТУРЫ» при проведении открытого конкурса в электронной форме «Благоустройство парка по ул.Невская 4 в городском поселении Оловяннинское Забайкальского края (00011286-ОК)» (реестровый № 0891200000623010639),</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участии посредством видеоконференцсвязи представителей: уполномоченного учреждения - Шульги Я.О. (доверенность от 01.03.2023 № 3), заказчика - Васильевой О.А. (доверенность от 12.12.2023 б/н), Фальковского Д.К.(доверенность от 12.12.2023 б/н), ООО «Мир бетона»- Е.Б. Чжао (директор общества), Мадасова М.И. (доверенность от 04.12.2023 б/н),</w:t>
      </w:r>
    </w:p>
    <w:p>
      <w:pPr>
        <w:pStyle w:val="Style16"/>
        <w:keepNext w:val="0"/>
        <w:keepLines w:val="0"/>
        <w:widowControl w:val="0"/>
        <w:shd w:val="clear" w:color="auto" w:fill="auto"/>
        <w:bidi w:val="0"/>
        <w:spacing w:before="0" w:after="700" w:line="240" w:lineRule="auto"/>
        <w:ind w:left="0" w:right="0" w:firstLine="740"/>
        <w:jc w:val="both"/>
      </w:pPr>
      <w:r>
        <w:rPr>
          <w:color w:val="000000"/>
          <w:spacing w:val="0"/>
          <w:w w:val="100"/>
          <w:position w:val="0"/>
          <w:sz w:val="24"/>
          <w:szCs w:val="24"/>
          <w:shd w:val="clear" w:color="auto" w:fill="auto"/>
          <w:lang w:val="ru-RU" w:eastAsia="ru-RU" w:bidi="ru-RU"/>
        </w:rPr>
        <w:t>в отсутствие представителей заявителей ООО «ПрофАльянс», ООО «Экодом» (о дате, времени и месте извещен надлежащим образом),</w:t>
      </w:r>
    </w:p>
    <w:p>
      <w:pPr>
        <w:pStyle w:val="Style23"/>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w:t>
      </w:r>
      <w:bookmarkEnd w:id="2"/>
    </w:p>
    <w:p>
      <w:pPr>
        <w:pStyle w:val="Style16"/>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07.12.2023, 08.12.2023, 12.12.2023 в адрес Забайкальского УФАС России поступили вышеназванные жалобы на нарушение требований Закона о контрактной системе при проведении закупки № 0891200000623010639 .</w:t>
      </w:r>
    </w:p>
    <w:p>
      <w:pPr>
        <w:pStyle w:val="Style1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Заявители ООО «Экодом» и ООО «ПрофАльянс» </w:t>
      </w:r>
      <w:r>
        <w:rPr>
          <w:color w:val="000000"/>
          <w:spacing w:val="0"/>
          <w:w w:val="100"/>
          <w:position w:val="0"/>
          <w:sz w:val="24"/>
          <w:szCs w:val="24"/>
          <w:shd w:val="clear" w:color="auto" w:fill="auto"/>
          <w:lang w:val="ru-RU" w:eastAsia="ru-RU" w:bidi="ru-RU"/>
        </w:rPr>
        <w:t>не согласны с действиями заказчика, по неправомерному утверждению порядка оценки заявок по показателю «Наличие у участников закупки опыта выполнения работы, оказания услуги, связанного с предметом контракта» нестоимостного критерия «Квалификация участников закупки». Заказчиком по детализирующему показателю установлены узкие рамки характера работ, принимаемых к оценке, для подрядчиков, ставя в приоритет участников, имеющих опыт выполнения работ только по благоустройству</w:t>
      </w:r>
      <w:r>
        <w:rPr>
          <w:b/>
          <w:bCs/>
          <w:color w:val="00000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лишая возможности победить в закупке участников, имеющих опыт выполнения работ по строительству, капитальному ремонту, реконструкции, сносу объекта капитального строительства (в том числе линейного объекта).</w:t>
      </w:r>
    </w:p>
    <w:p>
      <w:pPr>
        <w:pStyle w:val="Style1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Заявитель ООО «МИР БЕТОНА» </w:t>
      </w:r>
      <w:r>
        <w:rPr>
          <w:color w:val="000000"/>
          <w:spacing w:val="0"/>
          <w:w w:val="100"/>
          <w:position w:val="0"/>
          <w:sz w:val="24"/>
          <w:szCs w:val="24"/>
          <w:shd w:val="clear" w:color="auto" w:fill="auto"/>
          <w:lang w:val="ru-RU" w:eastAsia="ru-RU" w:bidi="ru-RU"/>
        </w:rPr>
        <w:t>не согласен с действиями заказчика, который при описании объекта в рабочей документации, использовал и разместил в ЕИС недостоверную информацию на основании подложного документа (сфальсифицированного коммерческого предложения заявителя), что является нарушением части 3 статьи 7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 с действиями заказчика, установившим одновременно требования об использовании при выполнении работ тротуарной плитки «Тучка» толщиной 30 мм и одновременном соответствии её требованиям ГОСТ 17608-2017, которым установлено, что минимальная толщина изделий должна составлять минимум 40 мм. , что нарушает положения пункта 2 части 1 статьи 33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Заявители просят провести внеплановую проверку, выдать заказчику предписание об устранении выявленных нарушений, привлечь виновных лиц к административной ответственности.</w:t>
      </w:r>
    </w:p>
    <w:p>
      <w:pPr>
        <w:pStyle w:val="Style1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Заказчиком, уполномоченным учреждением представлены пояснения о несогласии с доводами заявителей, считают жалобы необоснованными.</w:t>
      </w:r>
    </w:p>
    <w:p>
      <w:pPr>
        <w:pStyle w:val="Style1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 xml:space="preserve">По жалобам </w:t>
      </w:r>
      <w:r>
        <w:rPr>
          <w:color w:val="000000"/>
          <w:spacing w:val="0"/>
          <w:w w:val="100"/>
          <w:position w:val="0"/>
          <w:sz w:val="24"/>
          <w:szCs w:val="24"/>
          <w:shd w:val="clear" w:color="auto" w:fill="auto"/>
          <w:lang w:val="ru-RU" w:eastAsia="ru-RU" w:bidi="ru-RU"/>
        </w:rPr>
        <w:t xml:space="preserve">ООО «ПрофАльянс», ООО «Экодом» указано, что критерии оценки установлены исходя из объекта закупки, предмета договора (договоров), оцениваемого по каждому детализирующему показателю, </w:t>
      </w:r>
      <w:r>
        <w:rPr>
          <w:b/>
          <w:bCs/>
          <w:color w:val="000000"/>
          <w:spacing w:val="0"/>
          <w:w w:val="100"/>
          <w:position w:val="0"/>
          <w:sz w:val="24"/>
          <w:szCs w:val="24"/>
          <w:shd w:val="clear" w:color="auto" w:fill="auto"/>
          <w:lang w:val="ru-RU" w:eastAsia="ru-RU" w:bidi="ru-RU"/>
        </w:rPr>
        <w:t xml:space="preserve">сопоставимый с предметом контракта, </w:t>
      </w:r>
      <w:r>
        <w:rPr>
          <w:color w:val="000000"/>
          <w:spacing w:val="0"/>
          <w:w w:val="100"/>
          <w:position w:val="0"/>
          <w:sz w:val="24"/>
          <w:szCs w:val="24"/>
          <w:shd w:val="clear" w:color="auto" w:fill="auto"/>
          <w:lang w:val="ru-RU" w:eastAsia="ru-RU" w:bidi="ru-RU"/>
        </w:rPr>
        <w:t>заключаемого по результатам определения поставщика (подрядчика, исполнителя), что не противоречит требованиям ч. 28 Постановления Правительства РФ от 31.12.2021 г. № 2604.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Предметом проводимой закупки является благоустройство парка. Учитывая предмет закупки в Порядке рассмотрения и оценки заявок заказчиком установлены оцениваемые по показателю договоры, а именно - наличие у участника закупки надлежаще исполненных договоров на выполнение работ по благоустройству общественных территорий, в том числе благоустройству дворовых территорий.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жалобе ООО «МИР БЕТОНА» заказчиком казано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«21.11.2023 на официальный сайт гакирккдоули Единой информационной системы в сфере закупок загружено неверное коммерческое предложение. Для прохождения экспертизы требуется загрузка коммерческих предложений основных для учета смет и конъюнктурных для анализа рынка, проектная организация делала запросы на требуемые позиции тротуарной плитки для проекта в различные организации по всем регионам России.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Основное коммерческое предложение, на котором основывается цена в проектной сметной документации идет от поставщика: ИЛ Зыкин М.А. (Каменный двор), плитка «Тучка» толщиной 30 мм (см. приложение 1), так же имеется сертификат соответствия на данную плитку от поставщика, обосновывающий применение плитки толщиной 30 мм, вместо 40 мм (см. приложение 2). Данное коммерческое предложение было в приоритете, так как расположение поставщика согласно их сайту указан Забайкальский край, г. Чита и данный поставщик является местным, что укладывается в требование Правительства Забайкальского края в применении максимально возможных производителей маф, тротуарной плитки и прочих поставщиков именно </w:t>
      </w:r>
      <w:r>
        <w:rPr>
          <w:color w:val="000000"/>
          <w:spacing w:val="0"/>
          <w:w w:val="100"/>
          <w:position w:val="0"/>
          <w:sz w:val="24"/>
          <w:szCs w:val="24"/>
          <w:shd w:val="clear" w:color="auto" w:fill="auto"/>
          <w:lang w:val="ru-RU" w:eastAsia="ru-RU" w:bidi="ru-RU"/>
        </w:rPr>
        <w:t>из Забайкальского края. В проекте была учтена тротуарная плитка от ООО «МИР БЕТОНА» и было получено коммерческое предложение на «Тротуарную плитку «Антик», цвет белый на белом и тротуарную плитку «Антик», цвет голубой на белом цвете» (см. приложение 5)</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Коммерческое предложение от имени ООО «МИР БЕТОНА» именно в части плитки толщиной 30 мм, загруженное на сайт закупок - не рассматривалось как основное и как конъюнктурное коммерческое предложение на проект. Данное коммерческое предложение было получено в ходе исследования рынка цен и получено от организации, являющейся посредником, в данной ситуации нами была допущена ошибка и не верное КП прикрепили в документации.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Коммерческие предложения, которые обосновывают конъюнктурный анализ в части применения плитки толщиной 30 мм — это от «Группа компаний «Гранит Гранат» (приложение) и от ООО «СБЛ Плюс» (приложение).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второму доводу жалобы :</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Основной поставщик тротуарной плитки находится в Чите, Забайкальский край.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запросе коммерческого предложения на поставку его продукции в параметрах толщины тротуарной плитки в 30 мм, поставщик предоставил сертификат соответствия его продукции именно ГОСТ 17608-2017. Т.е это означает, что продукция может использоваться в наружных отделочных работах по благоустройству территории. В случае рекламаций или претензий к закупленной продукции в части качества или работоспособности, поставщик несет гарантийные обязательства по замене поставленной продукции.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Более подробные и квалифицированные объяснения по существу поступившей жалобы предоставит во время заседания комиссии УФАС представитель подрядной проектной организации ООО «Архитектуры и дизайна Фокс», которая занималась разработкой проекта».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Генеральный директор подрядной проектной организации ООО «Мастерская архитектуры и дизайна Фокс» Фальковский Д.К., который является представителем заказчика на основании выданной доверенности, в ходе проведения комиссии подтвердил, что действительно в соответствии с требованиями ГОСТ 17608-2017 минимальная толщина изделия «Плитки «Тучка» должна составлять 40 мм., то есть 4 см, а не 3 см, как установлено в размещенной документации Однако, несмотря на выявленные несоответствия представитель указал, что имеется возможность внести изменения в рабочую документацию по корректировки толщины плитки в соответствии с требованиями ГОСТ 17608-2017, а именно от 40 мм.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вышеизложенного считает жалобы заявителей необоснованными.</w:t>
      </w:r>
    </w:p>
    <w:p>
      <w:pPr>
        <w:pStyle w:val="Style1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22.11.2023 заказчиком на официальном сайте ЕИС размещены извещение и электронные документы о проведении открытого конкурса в электронной форме на «Благоустройство парка по ул.Невская 4 в городском поселении Оловяннинское Забайкальского края (00011286-ОК)» (реестровый № 0891200000623010639).</w:t>
      </w:r>
    </w:p>
    <w:p>
      <w:pPr>
        <w:pStyle w:val="Style16"/>
        <w:keepNext w:val="0"/>
        <w:keepLines w:val="0"/>
        <w:widowControl w:val="0"/>
        <w:shd w:val="clear" w:color="auto" w:fill="auto"/>
        <w:tabs>
          <w:tab w:pos="3130" w:val="left"/>
          <w:tab w:pos="6058" w:val="left"/>
          <w:tab w:pos="786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w:t>
        <w:tab/>
        <w:t>(максимальная)</w:t>
        <w:tab/>
        <w:t>цена</w:t>
        <w:tab/>
        <w:t>контракта</w:t>
      </w:r>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59081084.00 рублей.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w:t>
      </w:r>
      <w:r>
        <w:fldChar w:fldCharType="begin"/>
      </w:r>
      <w:r>
        <w:rPr/>
        <w:instrText> HYPERLINK "https://zakupki.gov.ru/epz/order/notice/ok20/view/protocol/protocol-main-info.html?regNumber=0891200000623009606&amp;protocolId=43106147" </w:instrText>
      </w:r>
      <w:r>
        <w:fldChar w:fldCharType="separate"/>
      </w:r>
      <w:r>
        <w:rPr>
          <w:color w:val="000000"/>
          <w:spacing w:val="0"/>
          <w:w w:val="100"/>
          <w:position w:val="0"/>
          <w:sz w:val="24"/>
          <w:szCs w:val="24"/>
          <w:shd w:val="clear" w:color="auto" w:fill="auto"/>
          <w:lang w:val="ru-RU" w:eastAsia="ru-RU" w:bidi="ru-RU"/>
        </w:rPr>
        <w:t>Протоколу подведения итогов определения поставщика (подрядчика,</w:t>
      </w:r>
      <w:r>
        <w:fldChar w:fldCharType="end"/>
      </w:r>
      <w:r>
        <w:rPr>
          <w:color w:val="000000"/>
          <w:spacing w:val="0"/>
          <w:w w:val="100"/>
          <w:position w:val="0"/>
          <w:sz w:val="24"/>
          <w:szCs w:val="24"/>
          <w:shd w:val="clear" w:color="auto" w:fill="auto"/>
          <w:lang w:val="ru-RU" w:eastAsia="ru-RU" w:bidi="ru-RU"/>
        </w:rPr>
        <w:t xml:space="preserve"> </w:t>
      </w:r>
      <w:r>
        <w:fldChar w:fldCharType="begin"/>
      </w:r>
      <w:r>
        <w:rPr/>
        <w:instrText> HYPERLINK "https://zakupki.gov.ru/epz/order/notice/ok20/view/protocol/protocol-main-info.html?regNumber=0891200000623009606&amp;protocolId=43106147" </w:instrText>
      </w:r>
      <w:r>
        <w:fldChar w:fldCharType="separate"/>
      </w:r>
      <w:r>
        <w:rPr>
          <w:color w:val="000000"/>
          <w:spacing w:val="0"/>
          <w:w w:val="100"/>
          <w:position w:val="0"/>
          <w:sz w:val="24"/>
          <w:szCs w:val="24"/>
          <w:shd w:val="clear" w:color="auto" w:fill="auto"/>
          <w:lang w:val="ru-RU" w:eastAsia="ru-RU" w:bidi="ru-RU"/>
        </w:rPr>
        <w:t xml:space="preserve">исполнителя) от 11.12.2023 в конкурсе участвовало 5 участников, </w:t>
      </w:r>
      <w:r>
        <w:fldChar w:fldCharType="end"/>
      </w:r>
      <w:r>
        <w:rPr>
          <w:color w:val="000000"/>
          <w:spacing w:val="0"/>
          <w:w w:val="100"/>
          <w:position w:val="0"/>
          <w:sz w:val="24"/>
          <w:szCs w:val="24"/>
          <w:shd w:val="clear" w:color="auto" w:fill="auto"/>
          <w:lang w:val="ru-RU" w:eastAsia="ru-RU" w:bidi="ru-RU"/>
        </w:rPr>
        <w:t>победителем признано ООО «Межотраслевая компания Сибири».</w:t>
      </w:r>
    </w:p>
    <w:p>
      <w:pPr>
        <w:pStyle w:val="Style16"/>
        <w:keepNext w:val="0"/>
        <w:keepLines w:val="0"/>
        <w:widowControl w:val="0"/>
        <w:shd w:val="clear" w:color="auto" w:fill="auto"/>
        <w:bidi w:val="0"/>
        <w:spacing w:before="0" w:after="0" w:line="240" w:lineRule="auto"/>
        <w:ind w:left="0" w:right="0" w:firstLine="720"/>
        <w:jc w:val="both"/>
      </w:pPr>
      <w:r>
        <w:rPr>
          <w:b/>
          <w:bCs/>
          <w:color w:val="000000"/>
          <w:spacing w:val="0"/>
          <w:w w:val="100"/>
          <w:position w:val="0"/>
          <w:sz w:val="24"/>
          <w:szCs w:val="24"/>
          <w:shd w:val="clear" w:color="auto" w:fill="auto"/>
          <w:lang w:val="ru-RU" w:eastAsia="ru-RU" w:bidi="ru-RU"/>
        </w:rPr>
        <w:t>Рассмотрев представленные документы, заслушав пояснения сторон, комиссия Забайкальского УФАС России приходит к следующим выводам.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Жалобы заявителей ООО «</w:t>
      </w:r>
      <w:r>
        <w:rPr>
          <w:color w:val="383838"/>
          <w:spacing w:val="0"/>
          <w:w w:val="100"/>
          <w:position w:val="0"/>
          <w:sz w:val="24"/>
          <w:szCs w:val="24"/>
          <w:shd w:val="clear" w:color="auto" w:fill="auto"/>
          <w:lang w:val="ru-RU" w:eastAsia="ru-RU" w:bidi="ru-RU"/>
        </w:rPr>
        <w:t xml:space="preserve">ЭКОДОМ», </w:t>
      </w:r>
      <w:r>
        <w:rPr>
          <w:color w:val="000000"/>
          <w:spacing w:val="0"/>
          <w:w w:val="100"/>
          <w:position w:val="0"/>
          <w:sz w:val="24"/>
          <w:szCs w:val="24"/>
          <w:shd w:val="clear" w:color="auto" w:fill="auto"/>
          <w:lang w:val="ru-RU" w:eastAsia="ru-RU" w:bidi="ru-RU"/>
        </w:rPr>
        <w:t>ООО «ПрофАльянс» признаны комиссией необоснованными по следующим основаниям.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к содержанию извещения об осуществлении закупки установлены статьей 42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11 части 1 статьи 42 Закон о контрактной системе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4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 статьи 32 Закона о контрактной системе для оценки заявок участников закупки заказчик использует следующие критерии:</w:t>
      </w:r>
    </w:p>
    <w:p>
      <w:pPr>
        <w:pStyle w:val="Style16"/>
        <w:keepNext w:val="0"/>
        <w:keepLines w:val="0"/>
        <w:widowControl w:val="0"/>
        <w:numPr>
          <w:ilvl w:val="0"/>
          <w:numId w:val="1"/>
        </w:numPr>
        <w:shd w:val="clear" w:color="auto" w:fill="auto"/>
        <w:tabs>
          <w:tab w:pos="104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6"/>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расходы на эксплуатацию и ремонт товаров, использование результатов работ;</w:t>
      </w:r>
    </w:p>
    <w:p>
      <w:pPr>
        <w:pStyle w:val="Style16"/>
        <w:keepNext w:val="0"/>
        <w:keepLines w:val="0"/>
        <w:widowControl w:val="0"/>
        <w:numPr>
          <w:ilvl w:val="0"/>
          <w:numId w:val="1"/>
        </w:numPr>
        <w:shd w:val="clear" w:color="auto" w:fill="auto"/>
        <w:tabs>
          <w:tab w:pos="106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качественные, функциональные и экологические характеристики объекта закупки;</w:t>
      </w:r>
    </w:p>
    <w:p>
      <w:pPr>
        <w:pStyle w:val="Style16"/>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8 статьи 32 Закона о контрактной системы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Положение об оценке заявок на участие в закупке товаров, работ, услуг для обеспечения государственных и муниципальных нужд (далее - Положение) утверждено постановлением Правительства РФ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согласно пункту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Для оценки заявок в соответствии с настоящим Положением применяются следующие критерии оценки:</w:t>
      </w:r>
    </w:p>
    <w:p>
      <w:pPr>
        <w:pStyle w:val="Style16"/>
        <w:keepNext w:val="0"/>
        <w:keepLines w:val="0"/>
        <w:widowControl w:val="0"/>
        <w:numPr>
          <w:ilvl w:val="0"/>
          <w:numId w:val="3"/>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6"/>
        <w:keepNext w:val="0"/>
        <w:keepLines w:val="0"/>
        <w:widowControl w:val="0"/>
        <w:numPr>
          <w:ilvl w:val="0"/>
          <w:numId w:val="3"/>
        </w:numPr>
        <w:shd w:val="clear" w:color="auto" w:fill="auto"/>
        <w:tabs>
          <w:tab w:pos="1070"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расходы;</w:t>
      </w:r>
    </w:p>
    <w:p>
      <w:pPr>
        <w:pStyle w:val="Style16"/>
        <w:keepNext w:val="0"/>
        <w:keepLines w:val="0"/>
        <w:widowControl w:val="0"/>
        <w:numPr>
          <w:ilvl w:val="0"/>
          <w:numId w:val="3"/>
        </w:numPr>
        <w:shd w:val="clear" w:color="auto" w:fill="auto"/>
        <w:tabs>
          <w:tab w:pos="106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характеристики объекта закупки;</w:t>
      </w:r>
    </w:p>
    <w:p>
      <w:pPr>
        <w:pStyle w:val="Style16"/>
        <w:keepNext w:val="0"/>
        <w:keepLines w:val="0"/>
        <w:widowControl w:val="0"/>
        <w:numPr>
          <w:ilvl w:val="0"/>
          <w:numId w:val="3"/>
        </w:numPr>
        <w:shd w:val="clear" w:color="auto" w:fill="auto"/>
        <w:tabs>
          <w:tab w:pos="105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квалификация участников закупки (пункт 3 Положения).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подпункту а) пункта 5 Положения при проведении конкурсов с учетом настоящего Положения применяются не менее 2 критериев оценки, одним из которых должен являться критерий оценки, предусмотренный подпунктом а) пункта 3 Положения.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с учетом вышеназванных положений законодательства, при проведении открытого конкурса в электронной форме заказчику необходимо установить не менее двух критериев оценки, одним из которых является цена контракта. Вместе с тем, в силу пункта 32 Положения, вторым критерием оценки устанавливается критерий, предусмотренный подпунктом «г» пункта 3 Положения - «Квалификация участников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Комиссией Забайкальского УФАС России установлено, что размещенный в составе извещения о проведении закупки «ПОРЯДОК рассмотрения и оценки заявок на участие в конкурсе» содержит требования, предусмотренные ч.1 ст. 32 Закона о контрактной системе, в том числе требования 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с установленными в соответствии с Постановлением Правительства РФ № 2604 критериями оценки квалификации </w:t>
      </w:r>
      <w:r>
        <w:rPr>
          <w:color w:val="000000"/>
          <w:spacing w:val="0"/>
          <w:w w:val="100"/>
          <w:position w:val="0"/>
          <w:sz w:val="24"/>
          <w:szCs w:val="24"/>
          <w:shd w:val="clear" w:color="auto" w:fill="auto"/>
          <w:lang w:val="ru-RU" w:eastAsia="ru-RU" w:bidi="ru-RU"/>
        </w:rPr>
        <w:t>участников закупки.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Требования к квалификации участников закупки, предусмотренные Порядком рассмотрения и оценки заявок на участие в конкурсе, устанавливаются при проведении электронных конкурсов в соответствии с ч.1, ч.8 ст.32 Закона о контрактной системе с учетом требований, предусмотренных Постановлением Правительства РФ № 2604.</w:t>
      </w:r>
    </w:p>
    <w:p>
      <w:pPr>
        <w:pStyle w:val="Style16"/>
        <w:keepNext w:val="0"/>
        <w:keepLines w:val="0"/>
        <w:widowControl w:val="0"/>
        <w:shd w:val="clear" w:color="auto" w:fill="auto"/>
        <w:bidi w:val="0"/>
        <w:spacing w:before="0" w:after="0" w:line="240" w:lineRule="auto"/>
        <w:ind w:left="0" w:right="0" w:firstLine="1440"/>
        <w:jc w:val="both"/>
      </w:pPr>
      <w:r>
        <w:rPr>
          <w:color w:val="000000"/>
          <w:spacing w:val="0"/>
          <w:w w:val="100"/>
          <w:position w:val="0"/>
          <w:sz w:val="24"/>
          <w:szCs w:val="24"/>
          <w:shd w:val="clear" w:color="auto" w:fill="auto"/>
          <w:lang w:val="ru-RU" w:eastAsia="ru-RU" w:bidi="ru-RU"/>
        </w:rPr>
        <w:t>Согласно пункту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6"/>
        <w:keepNext w:val="0"/>
        <w:keepLines w:val="0"/>
        <w:widowControl w:val="0"/>
        <w:numPr>
          <w:ilvl w:val="0"/>
          <w:numId w:val="5"/>
        </w:numPr>
        <w:shd w:val="clear" w:color="auto" w:fill="auto"/>
        <w:tabs>
          <w:tab w:pos="106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16"/>
        <w:keepNext w:val="0"/>
        <w:keepLines w:val="0"/>
        <w:widowControl w:val="0"/>
        <w:numPr>
          <w:ilvl w:val="0"/>
          <w:numId w:val="5"/>
        </w:numPr>
        <w:shd w:val="clear" w:color="auto" w:fill="auto"/>
        <w:tabs>
          <w:tab w:pos="105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16"/>
        <w:keepNext w:val="0"/>
        <w:keepLines w:val="0"/>
        <w:widowControl w:val="0"/>
        <w:numPr>
          <w:ilvl w:val="0"/>
          <w:numId w:val="5"/>
        </w:numPr>
        <w:shd w:val="clear" w:color="auto" w:fill="auto"/>
        <w:tabs>
          <w:tab w:pos="105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16"/>
        <w:keepNext w:val="0"/>
        <w:keepLines w:val="0"/>
        <w:widowControl w:val="0"/>
        <w:numPr>
          <w:ilvl w:val="0"/>
          <w:numId w:val="5"/>
        </w:numPr>
        <w:shd w:val="clear" w:color="auto" w:fill="auto"/>
        <w:tabs>
          <w:tab w:pos="107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16"/>
        <w:keepNext w:val="0"/>
        <w:keepLines w:val="0"/>
        <w:widowControl w:val="0"/>
        <w:numPr>
          <w:ilvl w:val="0"/>
          <w:numId w:val="5"/>
        </w:numPr>
        <w:shd w:val="clear" w:color="auto" w:fill="auto"/>
        <w:tabs>
          <w:tab w:pos="105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Согласно пп. «в» п.24 Постановления Правительства РФ № 2604 для оценки заявок по критерию оценки "квалификация участников закупки" применятся показатель - наличие у участников закупки опыта поставки товара, выполнения работы, оказания услуги, </w:t>
      </w:r>
      <w:r>
        <w:rPr>
          <w:b/>
          <w:bCs/>
          <w:color w:val="000000"/>
          <w:spacing w:val="0"/>
          <w:w w:val="100"/>
          <w:position w:val="0"/>
          <w:sz w:val="24"/>
          <w:szCs w:val="24"/>
          <w:u w:val="single"/>
          <w:shd w:val="clear" w:color="auto" w:fill="auto"/>
          <w:lang w:val="ru-RU" w:eastAsia="ru-RU" w:bidi="ru-RU"/>
        </w:rPr>
        <w:t>связанного с предметом контракта.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пп. «в» п.28 Постановления Правительства РФ № 2604 в случае применения показателя оценки «наличие у участников закупки опыта поставки товара, выполнения работы, оказания услуги, связанного с предметом контракта» документом, предусмотренным приложением № 1 к Постановлению Правительства РФ № 2604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рассматриваемом случае, предметом проводимой закупки является благоустройство парка по ул.Невская 4 в городском поселении Оловяннинское Забайкальского края , в связи с чем заказчиком в Порядке рассмотрения и оценки заявок в разделе «Положение о применения критерия оценки, показателя оценки, показателя оценки, детализирующего показатель оценки» правомерно установлены оцениваемые по показателю договоры в соответствии с предметом контракта, а именно - Наличие у участника закупки надлежаще исполненных договоров на выполнение работ по благоустройству дворовых территорий, в том числе благоустройству общественных территорий.</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Доводы Заявителей, что установленное заказчиком Положения порядка оценки заявок составлены ненадлежащим образом и могут повлечь за собой ограничение количества участников закупки является несостоятельным, поскольку на участие в закупке поступило 5 заявок.</w:t>
      </w:r>
    </w:p>
    <w:p>
      <w:pPr>
        <w:pStyle w:val="Style16"/>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Учитывая, что Заявители на заседание Комиссии явку представителей не обеспечили, доказательств, подтверждающих обоснованность своей жалобы, не представили (в том числе в части наличия какого-либо опыта), Комиссия приходит к выводу, что довод Заявителей не нашел своего подтверждения.</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на основании вышеизложенного, комиссия приходит к выводам о том, что установленный Заказчиком порядок оценки заявок, не противоречит нормам Закона о контрактной системе, и не нарушает прав и законных интересов заявителя.</w:t>
      </w:r>
    </w:p>
    <w:p>
      <w:pPr>
        <w:pStyle w:val="Style16"/>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z w:val="24"/>
          <w:szCs w:val="24"/>
          <w:shd w:val="clear" w:color="auto" w:fill="auto"/>
          <w:lang w:val="ru-RU" w:eastAsia="ru-RU" w:bidi="ru-RU"/>
        </w:rPr>
        <w:t>Жалоба заявителя ООО «</w:t>
      </w:r>
      <w:r>
        <w:rPr>
          <w:b/>
          <w:bCs/>
          <w:color w:val="383838"/>
          <w:spacing w:val="0"/>
          <w:w w:val="100"/>
          <w:position w:val="0"/>
          <w:sz w:val="24"/>
          <w:szCs w:val="24"/>
          <w:shd w:val="clear" w:color="auto" w:fill="auto"/>
          <w:lang w:val="ru-RU" w:eastAsia="ru-RU" w:bidi="ru-RU"/>
        </w:rPr>
        <w:t xml:space="preserve">Мир бетона», </w:t>
      </w:r>
      <w:r>
        <w:rPr>
          <w:b/>
          <w:bCs/>
          <w:color w:val="000000"/>
          <w:spacing w:val="0"/>
          <w:w w:val="100"/>
          <w:position w:val="0"/>
          <w:sz w:val="24"/>
          <w:szCs w:val="24"/>
          <w:shd w:val="clear" w:color="auto" w:fill="auto"/>
          <w:lang w:val="ru-RU" w:eastAsia="ru-RU" w:bidi="ru-RU"/>
        </w:rPr>
        <w:t>признана комиссией обоснованной по следующим основаниям.</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пункту 1 части 2 статьи 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Частью 1 статьи 33 Закона о контрактной системе установлены правила, которыми должен руководствоваться заказчик при описании объекта закупки. При этом в соответствии с пунктом 8 части 1 статьи 33 Закона о контрактной системе включение проектной документации в описание </w:t>
      </w:r>
      <w:r>
        <w:rPr>
          <w:color w:val="000000"/>
          <w:spacing w:val="0"/>
          <w:w w:val="100"/>
          <w:position w:val="0"/>
          <w:sz w:val="24"/>
          <w:szCs w:val="24"/>
          <w:shd w:val="clear" w:color="auto" w:fill="auto"/>
          <w:lang w:val="ru-RU" w:eastAsia="ru-RU" w:bidi="ru-RU"/>
        </w:rPr>
        <w:t>объекта закупки является надлежащим исполнением требований пунктов 1 - 3 части 1, части 2 статьи 33 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Во исполнение указанных требований Закона о контрактной системе заказчик в составе извещения о проведении Конкурса разместил рабочую документацию по объекту «Благоустройство центрального парка по ул. Невская в пгт. Оловянная Забайкальский край».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пояснительной записки к сметной документации (файл «Пояснительная записка_Оловяная_ИТОГ.рдГ», архив «раздел СМ (1).гаг», Приложение 2 к извещению в ЕИС) стоимость материалов принята на основании данных из сборников ФССЦ. При отсутствии единичной стоимости в ценниках базисного периода времени, внесенных в федеральный реестр сметных нормативов, стоимость материалов и оборудования принята по прайс-листам. Прайс-листы подобраны на основании конъюнктурного анализа наиболее экономичного решения.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представленного конъюнктурного анализа (файл «Конъюнктурный анализ Оловянная - Конъюнктурный анализ1.рдГ», архив «раздел СМ (1).гаг», Приложение 2 к извещению в ЕИС) следует, что рабочая документация, включая все расчеты и проектные решения, в отношении анкеров, клепок, тротуарной плитки «Антик» и «Тучка», стального бордюра и грунт-эмали «НИПОЛ-СПРИНТ МТС» белой основано на предложении ООО «Мир Бетона» от 25 сентября 2023 года.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составе прайс-листов по объекту «Благоустройство центрального парка по ул. Невская в пгт. Оловянная Забайкальский край» (файл «Прайс-листы Оловянная'1.рдЬ&gt;, архив «раздел СМ (1).гаг», Приложение 2 к извещению в ЕИС) на странице 5 представлено коммерческое предложение ООО «Мир Бетона» от 25.09.2023 №б/н.</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ходе проведения комиссии установлено, и подтверждено представителями заказчика, что действительно 29.08.2023 общество «Мир Бетона» направляло предложение о возможности поставке произведенной продукции в пгт. Оловянная, но с иным содержанием, нежели размещено в ЕИС.</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представленного заявителем скриншота с оригинала коммерческого предложения установлено, что предложение содержит исключительно тротуарную плитку «Антик», которая производится заявителем. В оригинале предложения отсутствуют анкеры, клепки, тротуарная плитка «Тучка», стальной бордюр и грунт-эмаль «НИПОЛ-СПРИНТ МТС», поскольку, как пояснили представители общества, ООО «Мир Бетона» не занимается производством или реализацией данных материалов. Происхождение размещенного в ЕИС коммерческого предложения заявителя, заказчик затруднился подтвердить.</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3 статьи 7 Закона о контрактной системе информация, предусмотренная Законом о контрактной системе и размещенная в ЕИС, должна быть полной и достоверной.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Таким образом, на основании вышеизложенного, заказчиком в нарушение части 3 статьи 7 Закона о контрактной системе описание объекта закупки, в размещенной в рабочей документации, содержит </w:t>
      </w:r>
      <w:r>
        <w:rPr>
          <w:b/>
          <w:bCs/>
          <w:color w:val="000000"/>
          <w:spacing w:val="0"/>
          <w:w w:val="100"/>
          <w:position w:val="0"/>
          <w:sz w:val="24"/>
          <w:szCs w:val="24"/>
          <w:shd w:val="clear" w:color="auto" w:fill="auto"/>
          <w:lang w:val="ru-RU" w:eastAsia="ru-RU" w:bidi="ru-RU"/>
        </w:rPr>
        <w:t xml:space="preserve">недостоверную </w:t>
      </w:r>
      <w:r>
        <w:rPr>
          <w:color w:val="000000"/>
          <w:spacing w:val="0"/>
          <w:w w:val="100"/>
          <w:position w:val="0"/>
          <w:sz w:val="24"/>
          <w:szCs w:val="24"/>
          <w:shd w:val="clear" w:color="auto" w:fill="auto"/>
          <w:lang w:val="ru-RU" w:eastAsia="ru-RU" w:bidi="ru-RU"/>
        </w:rPr>
        <w:t>информацию и подготовлено на основании документа, которое ООО «Мир Бетона» не направляло заказчику.</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Заказчику необходимо устранить выявленное нарушение.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пунктом 2 части 1 статьи 33 Закона о контрактной системе заказчик при описании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w:t>
      </w:r>
      <w:r>
        <w:rPr>
          <w:color w:val="000000"/>
          <w:spacing w:val="0"/>
          <w:w w:val="100"/>
          <w:position w:val="0"/>
          <w:sz w:val="24"/>
          <w:szCs w:val="24"/>
          <w:shd w:val="clear" w:color="auto" w:fill="auto"/>
          <w:lang w:val="ru-RU" w:eastAsia="ru-RU" w:bidi="ru-RU"/>
        </w:rPr>
        <w:t>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пункте 2 письма ФАС России от 01.07.2016 № ИА/44536/16 указано, что в случае установления заказчиком в извещении о закупке требований об одновременном соответствии предлагаемых участниками показателей товара как значениям, установленным техническими регламентами, стандартами и иными документами, предусмотренными законодательством Российской Федерации о техническом регулировании (далее - Стандарты), так и значениям, указанным в извещении о закупке, последние не должны противоречить требованиям Стандартов, а также не должны вводить участников закупки в заблуждение и позволять указать в заявке противоречащие положениям Стандарта показатели и (или) их значения.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5.3 размещенного Описания объекта закупки Подрядчик обязан в ходе выполнения работ использовать материалы, конструкции, оборудование, качество которых и комплектация соответствуют требованиям действующих государственных стандартов (ГОСТов), технических условий (ТУ), требованиям иных нормативных документов, а также требованиям действующего законодательства Российской Федерации, что должно подтверждаться наличием у Подрядчика соответствующих документов, свидетельствующих о качестве используемых материалов, оборудования и конструкций, выданных уполномоченной на то организацией, в том числе наличием сертификатов соответствия, сертификатов пожарной безопасности и иных документов.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Дополнительно в разъяснениях положений извещения об осуществлении закупки от 04.12.2023 Заказчик уточнил требования к тротуарной плитке «Тучка»и разъяснил следующее: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«Плитка тротуарная «Тучка» толщина 3 см.- подходит для тротуарных улиц, с пешеходной нагрузкой. ГОСТ 17608-2017. При приемке работ, подрядчик предоставляет, согласно муниципального контракта: Сертификаты, технические паспорта, гарантийные обязательства па оборудование завода-изготовителя, или другие документы, удостоверяющие качество материалов и оборудования.»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Комиссией Забайкальского УФАС России установлено, что пунктом 4.2.3 ГОСТ 17608-2017 «Плиты бетонные тротуарные. Технические условия» установлено, что тротуарные плиты подразделяют на группы в зависимости от эксплуатационных нагрузок и воздействий, а характеристики плит по группам эксплуатации приведены в таблице 1.</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4 таблицы 1 ГОСТ 17608-2017 минимальная толщина изделий должна составлять 40 мм., то есть 4 см.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Вместе с тем, основная площадь покрытия в 1863 квадратных метров по проекту благоустройства (лист 15, файл «Оловянная_ПЗУ1.рдГ», архив «раздел ПЗУ (1).гаг», Приложение 1 к извещению в ЕИС)) предусматривает использование тротуарной плитки «Тучка» толщиной 30 мм, что противоречит требованиям ГОСТ 17608-2017.</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Представленный заказчиком на заседание комиссии сертификат соответствия плитки «Тучка» требованиям ГОСТ 17608-2017, отклоняется комиссией, поскольку он не содержит размеры плитки (в частности толщину плитки), следовательно комиссия затрудняется соотнести представленный сертификат на плитку «Тучка», соответствующей ГОСТ 17608-2017, как указано в сертификате, с товаром (плиткой «Тучка») указанной заказчиком в рабочей документации, толщина изделия которой 30 мм .</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Таким образом, Заказчик, установив одновременно требования об использовании </w:t>
      </w:r>
      <w:r>
        <w:rPr>
          <w:color w:val="000000"/>
          <w:spacing w:val="0"/>
          <w:w w:val="100"/>
          <w:position w:val="0"/>
          <w:sz w:val="22"/>
          <w:szCs w:val="22"/>
          <w:shd w:val="clear" w:color="auto" w:fill="auto"/>
          <w:lang w:val="ru-RU" w:eastAsia="ru-RU" w:bidi="ru-RU"/>
        </w:rPr>
        <w:t>тротуарной</w:t>
        <w:br w:type="page"/>
      </w:r>
      <w:r>
        <w:rPr>
          <w:color w:val="000000"/>
          <w:spacing w:val="0"/>
          <w:w w:val="100"/>
          <w:position w:val="0"/>
          <w:sz w:val="24"/>
          <w:szCs w:val="24"/>
          <w:shd w:val="clear" w:color="auto" w:fill="auto"/>
          <w:lang w:val="ru-RU" w:eastAsia="ru-RU" w:bidi="ru-RU"/>
        </w:rPr>
        <w:t>плитки «Тучка» толщиной изделия 30 мм и её соответствии требованиям ГОСТ 17608-2017 «ПЛИТЫ БЕТОННЫЕ ТРОТУАРНЫЕ Технические условия» нарушил положения пункта 1 части 1 статьи 33 Закона о контрактной системе, что содержит признаки состава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нарушениях, а также делает невозможным исполнение контракта на вышеуказанных условиях.</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Заказчику необходимо установить размер к толщине плитки от 40 мм, в соответствии с требованиями ГОСТ 17608-2017.</w:t>
      </w:r>
    </w:p>
    <w:p>
      <w:pPr>
        <w:pStyle w:val="Style16"/>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Указанное является основанием для выдачи предписания об устранении выявленных нарушений.</w:t>
      </w:r>
    </w:p>
    <w:p>
      <w:pPr>
        <w:pStyle w:val="Style16"/>
        <w:keepNext w:val="0"/>
        <w:keepLines w:val="0"/>
        <w:widowControl w:val="0"/>
        <w:shd w:val="clear" w:color="auto" w:fill="auto"/>
        <w:bidi w:val="0"/>
        <w:spacing w:before="0" w:after="200" w:line="240" w:lineRule="auto"/>
        <w:ind w:left="0" w:right="0" w:firstLine="900"/>
        <w:jc w:val="both"/>
      </w:pPr>
      <w:r>
        <w:rPr>
          <w:color w:val="000000"/>
          <w:spacing w:val="0"/>
          <w:w w:val="100"/>
          <w:position w:val="0"/>
          <w:sz w:val="24"/>
          <w:szCs w:val="24"/>
          <w:shd w:val="clear" w:color="auto" w:fill="auto"/>
          <w:lang w:val="ru-RU" w:eastAsia="ru-RU" w:bidi="ru-RU"/>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комиссия,</w:t>
      </w:r>
    </w:p>
    <w:p>
      <w:pPr>
        <w:pStyle w:val="Style16"/>
        <w:keepNext w:val="0"/>
        <w:keepLines w:val="0"/>
        <w:widowControl w:val="0"/>
        <w:shd w:val="clear" w:color="auto" w:fill="auto"/>
        <w:bidi w:val="0"/>
        <w:spacing w:before="0" w:after="200" w:line="262" w:lineRule="auto"/>
        <w:ind w:left="0" w:right="0" w:firstLine="0"/>
        <w:jc w:val="center"/>
        <w:rPr>
          <w:sz w:val="22"/>
          <w:szCs w:val="22"/>
        </w:rPr>
      </w:pPr>
      <w:r>
        <w:rPr>
          <w:b/>
          <w:bCs/>
          <w:color w:val="000000"/>
          <w:spacing w:val="0"/>
          <w:w w:val="100"/>
          <w:position w:val="0"/>
          <w:sz w:val="22"/>
          <w:szCs w:val="22"/>
          <w:shd w:val="clear" w:color="auto" w:fill="auto"/>
          <w:lang w:val="ru-RU" w:eastAsia="ru-RU" w:bidi="ru-RU"/>
        </w:rPr>
        <w:t>РЕШИЛА:</w:t>
      </w:r>
    </w:p>
    <w:p>
      <w:pPr>
        <w:pStyle w:val="Style16"/>
        <w:keepNext w:val="0"/>
        <w:keepLines w:val="0"/>
        <w:widowControl w:val="0"/>
        <w:numPr>
          <w:ilvl w:val="0"/>
          <w:numId w:val="7"/>
        </w:numPr>
        <w:shd w:val="clear" w:color="auto" w:fill="auto"/>
        <w:tabs>
          <w:tab w:pos="1405" w:val="left"/>
        </w:tabs>
        <w:bidi w:val="0"/>
        <w:spacing w:before="0" w:after="0" w:line="240" w:lineRule="auto"/>
        <w:ind w:left="1080" w:right="0" w:firstLine="0"/>
        <w:jc w:val="left"/>
      </w:pPr>
      <w:r>
        <w:rPr>
          <w:color w:val="000000"/>
          <w:spacing w:val="0"/>
          <w:w w:val="100"/>
          <w:position w:val="0"/>
          <w:sz w:val="24"/>
          <w:szCs w:val="24"/>
          <w:shd w:val="clear" w:color="auto" w:fill="auto"/>
          <w:lang w:val="ru-RU" w:eastAsia="ru-RU" w:bidi="ru-RU"/>
        </w:rPr>
        <w:t>Жалобы ООО «</w:t>
      </w:r>
      <w:r>
        <w:rPr>
          <w:color w:val="383838"/>
          <w:spacing w:val="0"/>
          <w:w w:val="100"/>
          <w:position w:val="0"/>
          <w:sz w:val="24"/>
          <w:szCs w:val="24"/>
          <w:shd w:val="clear" w:color="auto" w:fill="auto"/>
          <w:lang w:val="ru-RU" w:eastAsia="ru-RU" w:bidi="ru-RU"/>
        </w:rPr>
        <w:t xml:space="preserve">ЭКОДОМ», </w:t>
      </w:r>
      <w:r>
        <w:rPr>
          <w:color w:val="000000"/>
          <w:spacing w:val="0"/>
          <w:w w:val="100"/>
          <w:position w:val="0"/>
          <w:sz w:val="24"/>
          <w:szCs w:val="24"/>
          <w:shd w:val="clear" w:color="auto" w:fill="auto"/>
          <w:lang w:val="ru-RU" w:eastAsia="ru-RU" w:bidi="ru-RU"/>
        </w:rPr>
        <w:t>ООО «ПрофАльянс» признать необоснованными.</w:t>
      </w:r>
    </w:p>
    <w:p>
      <w:pPr>
        <w:pStyle w:val="Style16"/>
        <w:keepNext w:val="0"/>
        <w:keepLines w:val="0"/>
        <w:widowControl w:val="0"/>
        <w:numPr>
          <w:ilvl w:val="0"/>
          <w:numId w:val="7"/>
        </w:numPr>
        <w:shd w:val="clear" w:color="auto" w:fill="auto"/>
        <w:tabs>
          <w:tab w:pos="1429" w:val="left"/>
        </w:tabs>
        <w:bidi w:val="0"/>
        <w:spacing w:before="0" w:after="0" w:line="240" w:lineRule="auto"/>
        <w:ind w:left="1080" w:right="0" w:firstLine="0"/>
        <w:jc w:val="left"/>
      </w:pPr>
      <w:r>
        <w:rPr>
          <w:color w:val="000000"/>
          <w:spacing w:val="0"/>
          <w:w w:val="100"/>
          <w:position w:val="0"/>
          <w:sz w:val="24"/>
          <w:szCs w:val="24"/>
          <w:shd w:val="clear" w:color="auto" w:fill="auto"/>
          <w:lang w:val="ru-RU" w:eastAsia="ru-RU" w:bidi="ru-RU"/>
        </w:rPr>
        <w:t>Жалобу ООО «МИР БЕТОНА» признать обоснованной.</w:t>
      </w:r>
    </w:p>
    <w:p>
      <w:pPr>
        <w:pStyle w:val="Style16"/>
        <w:keepNext w:val="0"/>
        <w:keepLines w:val="0"/>
        <w:widowControl w:val="0"/>
        <w:numPr>
          <w:ilvl w:val="0"/>
          <w:numId w:val="7"/>
        </w:numPr>
        <w:shd w:val="clear" w:color="auto" w:fill="auto"/>
        <w:tabs>
          <w:tab w:pos="1352" w:val="left"/>
        </w:tabs>
        <w:bidi w:val="0"/>
        <w:spacing w:before="0" w:after="0" w:line="240" w:lineRule="auto"/>
        <w:ind w:left="0" w:right="0" w:firstLine="1080"/>
        <w:jc w:val="left"/>
      </w:pPr>
      <w:r>
        <w:rPr>
          <w:color w:val="000000"/>
          <w:spacing w:val="0"/>
          <w:w w:val="100"/>
          <w:position w:val="0"/>
          <w:sz w:val="24"/>
          <w:szCs w:val="24"/>
          <w:shd w:val="clear" w:color="auto" w:fill="auto"/>
          <w:lang w:val="ru-RU" w:eastAsia="ru-RU" w:bidi="ru-RU"/>
        </w:rPr>
        <w:t>. Заказчика признать нарушавшим часть 3 статьи 7 , пункт 1 части 1 статьи 33 Закона о контрактной системе.</w:t>
      </w:r>
    </w:p>
    <w:p>
      <w:pPr>
        <w:pStyle w:val="Style16"/>
        <w:keepNext w:val="0"/>
        <w:keepLines w:val="0"/>
        <w:widowControl w:val="0"/>
        <w:numPr>
          <w:ilvl w:val="0"/>
          <w:numId w:val="7"/>
        </w:numPr>
        <w:shd w:val="clear" w:color="auto" w:fill="auto"/>
        <w:tabs>
          <w:tab w:pos="1622" w:val="left"/>
        </w:tabs>
        <w:bidi w:val="0"/>
        <w:spacing w:before="0" w:after="0" w:line="240" w:lineRule="auto"/>
        <w:ind w:left="0" w:right="0" w:firstLine="1080"/>
        <w:jc w:val="left"/>
      </w:pPr>
      <w:r>
        <w:rPr>
          <w:color w:val="000000"/>
          <w:spacing w:val="0"/>
          <w:w w:val="100"/>
          <w:position w:val="0"/>
          <w:sz w:val="24"/>
          <w:szCs w:val="24"/>
          <w:shd w:val="clear" w:color="auto" w:fill="auto"/>
          <w:lang w:val="ru-RU" w:eastAsia="ru-RU" w:bidi="ru-RU"/>
        </w:rPr>
        <w:t>Заказчику Выдать предписание об устранении нарушений законодательства о контрактной системе.</w:t>
      </w:r>
    </w:p>
    <w:p>
      <w:pPr>
        <w:pStyle w:val="Style16"/>
        <w:keepNext w:val="0"/>
        <w:keepLines w:val="0"/>
        <w:widowControl w:val="0"/>
        <w:numPr>
          <w:ilvl w:val="0"/>
          <w:numId w:val="7"/>
        </w:numPr>
        <w:shd w:val="clear" w:color="auto" w:fill="auto"/>
        <w:tabs>
          <w:tab w:pos="1414" w:val="left"/>
        </w:tabs>
        <w:bidi w:val="0"/>
        <w:spacing w:before="0" w:after="0" w:line="240" w:lineRule="auto"/>
        <w:ind w:left="0" w:right="0" w:firstLine="1080"/>
        <w:jc w:val="left"/>
      </w:pPr>
      <w:r>
        <w:rPr>
          <w:color w:val="000000"/>
          <w:spacing w:val="0"/>
          <w:w w:val="100"/>
          <w:position w:val="0"/>
          <w:sz w:val="24"/>
          <w:szCs w:val="24"/>
          <w:shd w:val="clear" w:color="auto" w:fill="auto"/>
          <w:lang w:val="ru-RU" w:eastAsia="ru-RU" w:bidi="ru-RU"/>
        </w:rPr>
        <w:t>Передать материалы дела для привлечения виновных лиц к административной ответственности.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Решение по результатам рассмотрения жалобы и проведения внеплановой проверки может быть обжаловано в Арбитражный суд Забайкальского края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1" w:right="383" w:bottom="1179" w:left="985" w:header="0" w:footer="3" w:gutter="0"/>
          <w:cols w:space="720"/>
          <w:noEndnote/>
          <w:rtlGutter w:val="0"/>
          <w:docGrid w:linePitch="360"/>
        </w:sectPr>
      </w:pPr>
      <w:r>
        <mc:AlternateContent>
          <mc:Choice Requires="wps">
            <w:drawing>
              <wp:anchor distT="88900" distB="344170" distL="0" distR="0" simplePos="0" relativeHeight="125829378" behindDoc="0" locked="0" layoutInCell="1" allowOverlap="1">
                <wp:simplePos x="0" y="0"/>
                <wp:positionH relativeFrom="page">
                  <wp:posOffset>659130</wp:posOffset>
                </wp:positionH>
                <wp:positionV relativeFrom="paragraph">
                  <wp:posOffset>88900</wp:posOffset>
                </wp:positionV>
                <wp:extent cx="1572895" cy="216535"/>
                <wp:wrapTopAndBottom/>
                <wp:docPr id="5" name="Shape 5"/>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1.899999999999999pt;margin-top:7.pt;width:123.85000000000001pt;height:17.050000000000001pt;z-index:-125829375;mso-wrap-distance-left:0;mso-wrap-distance-top:7.pt;mso-wrap-distance-right:0;mso-wrap-distance-bottom:27.1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13030" distB="0" distL="0" distR="1789430" simplePos="0" relativeHeight="125829380" behindDoc="0" locked="0" layoutInCell="1" allowOverlap="1">
            <wp:simplePos x="0" y="0"/>
            <wp:positionH relativeFrom="page">
              <wp:posOffset>2579370</wp:posOffset>
            </wp:positionH>
            <wp:positionV relativeFrom="paragraph">
              <wp:posOffset>113030</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3042920</wp:posOffset>
                </wp:positionH>
                <wp:positionV relativeFrom="paragraph">
                  <wp:posOffset>515620</wp:posOffset>
                </wp:positionV>
                <wp:extent cx="1276985" cy="103505"/>
                <wp:wrapNone/>
                <wp:docPr id="9" name="Shape 9"/>
                <a:graphic xmlns:a="http://schemas.openxmlformats.org/drawingml/2006/main">
                  <a:graphicData uri="http://schemas.microsoft.com/office/word/2010/wordprocessingShape">
                    <wps:wsp>
                      <wps:cNvSpPr txBox="1"/>
                      <wps:spPr>
                        <a:xfrm>
                          <a:ext cx="127698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8E8E8"/>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39.59999999999999pt;margin-top:40.600000000000001pt;width:100.55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8E8E8"/>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2997200</wp:posOffset>
                </wp:positionH>
                <wp:positionV relativeFrom="paragraph">
                  <wp:posOffset>204470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E4E4E"/>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36.pt;margin-top:16.100000000000001pt;width:135.84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4E4E4E"/>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44170" distL="0" distR="0" simplePos="0" relativeHeight="125829381" behindDoc="0" locked="0" layoutInCell="1" allowOverlap="1">
                <wp:simplePos x="0" y="0"/>
                <wp:positionH relativeFrom="page">
                  <wp:posOffset>6304280</wp:posOffset>
                </wp:positionH>
                <wp:positionV relativeFrom="paragraph">
                  <wp:posOffset>88900</wp:posOffset>
                </wp:positionV>
                <wp:extent cx="807720" cy="216535"/>
                <wp:wrapTopAndBottom/>
                <wp:docPr id="13" name="Shape 13"/>
                <a:graphic xmlns:a="http://schemas.openxmlformats.org/drawingml/2006/main">
                  <a:graphicData uri="http://schemas.microsoft.com/office/word/2010/wordprocessingShape">
                    <wps:wsp>
                      <wps:cNvSpPr txBox="1"/>
                      <wps:spPr>
                        <a:xfrm>
                          <a:ext cx="807720"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М.Б. Гойгов</w:t>
                            </w:r>
                          </w:p>
                        </w:txbxContent>
                      </wps:txbx>
                      <wps:bodyPr wrap="none" lIns="0" tIns="0" rIns="0" bIns="0">
                        <a:noAutoFit/>
                      </wps:bodyPr>
                    </wps:wsp>
                  </a:graphicData>
                </a:graphic>
              </wp:anchor>
            </w:drawing>
          </mc:Choice>
          <mc:Fallback>
            <w:pict>
              <v:shape id="_x0000_s1039" type="#_x0000_t202" style="position:absolute;margin-left:496.40000000000003pt;margin-top:7.pt;width:63.600000000000001pt;height:17.050000000000001pt;z-index:-125829372;mso-wrap-distance-left:0;mso-wrap-distance-top:7.pt;mso-wrap-distance-right:0;mso-wrap-distance-bottom:27.1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М.Б. Гойгов</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Гойгов Михаил Багаудинович</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0098ВС52Е002В9Е433809ЕА609В1</w:t>
      </w:r>
      <w:r>
        <w:rPr>
          <w:color w:val="919191"/>
          <w:spacing w:val="0"/>
          <w:w w:val="100"/>
          <w:position w:val="0"/>
          <w:shd w:val="clear" w:color="auto" w:fill="auto"/>
          <w:lang w:val="ru-RU" w:eastAsia="ru-RU" w:bidi="ru-RU"/>
        </w:rPr>
        <w:t>1</w:t>
      </w:r>
      <w:r>
        <w:rPr>
          <w:color w:val="232323"/>
          <w:spacing w:val="0"/>
          <w:w w:val="100"/>
          <w:position w:val="0"/>
          <w:shd w:val="clear" w:color="auto" w:fill="auto"/>
          <w:lang w:val="ru-RU" w:eastAsia="ru-RU" w:bidi="ru-RU"/>
        </w:rPr>
        <w:t>Е9В58</w:t>
      </w:r>
    </w:p>
    <w:p>
      <w:pPr>
        <w:pStyle w:val="Style30"/>
        <w:keepNext w:val="0"/>
        <w:keepLines w:val="0"/>
        <w:widowControl w:val="0"/>
        <w:shd w:val="clear" w:color="auto" w:fill="auto"/>
        <w:bidi w:val="0"/>
        <w:spacing w:before="0" w:after="0" w:line="240" w:lineRule="auto"/>
        <w:ind w:right="0" w:firstLine="0"/>
        <w:jc w:val="left"/>
        <w:sectPr>
          <w:footnotePr>
            <w:pos w:val="pageBottom"/>
            <w:numFmt w:val="decimal"/>
            <w:numRestart w:val="continuous"/>
          </w:footnotePr>
          <w:type w:val="continuous"/>
          <w:pgSz w:w="11900" w:h="16840"/>
          <w:pgMar w:top="1110" w:right="264" w:bottom="1755" w:left="1106" w:header="0" w:footer="3" w:gutter="0"/>
          <w:cols w:space="720"/>
          <w:noEndnote/>
          <w:rtlGutter w:val="0"/>
          <w:docGrid w:linePitch="360"/>
        </w:sectPr>
      </w:pPr>
      <w:r>
        <w:rPr>
          <w:color w:val="6C6C6C"/>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22.08.2023 по </w:t>
      </w:r>
      <w:r>
        <w:rPr>
          <w:color w:val="6C6C6C"/>
          <w:spacing w:val="0"/>
          <w:w w:val="100"/>
          <w:position w:val="0"/>
          <w:shd w:val="clear" w:color="auto" w:fill="auto"/>
          <w:lang w:val="ru-RU" w:eastAsia="ru-RU" w:bidi="ru-RU"/>
        </w:rPr>
        <w:t>14.11.2024</w:t>
      </w:r>
    </w:p>
    <w:p>
      <w:pPr>
        <w:widowControl w:val="0"/>
        <w:spacing w:before="39" w:after="3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0" w:right="0" w:bottom="967" w:left="0" w:header="0" w:footer="3" w:gutter="0"/>
          <w:cols w:space="720"/>
          <w:noEndnote/>
          <w:rtlGutter w:val="0"/>
          <w:docGrid w:linePitch="360"/>
        </w:sectPr>
      </w:pPr>
    </w:p>
    <w:p>
      <w:pPr>
        <w:pStyle w:val="Style16"/>
        <w:keepNext w:val="0"/>
        <w:keepLines w:val="0"/>
        <w:framePr w:w="1814" w:h="341" w:wrap="none" w:vAnchor="text" w:hAnchor="page" w:x="1039" w:y="2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9"/>
        <w:keepNext w:val="0"/>
        <w:keepLines w:val="0"/>
        <w:framePr w:w="2717" w:h="403" w:wrap="none" w:vAnchor="text" w:hAnchor="page" w:x="4720" w:y="25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widowControl w:val="0"/>
        <w:spacing w:after="709" w:line="1" w:lineRule="exact"/>
      </w:pPr>
      <w:r>
        <w:drawing>
          <wp:anchor distT="0" distB="0" distL="0" distR="1807210" simplePos="0" relativeHeight="62914694" behindDoc="1" locked="0" layoutInCell="1" allowOverlap="1">
            <wp:simplePos x="0" y="0"/>
            <wp:positionH relativeFrom="page">
              <wp:posOffset>2603500</wp:posOffset>
            </wp:positionH>
            <wp:positionV relativeFrom="paragraph">
              <wp:posOffset>88265</wp:posOffset>
            </wp:positionV>
            <wp:extent cx="311150" cy="365760"/>
            <wp:wrapNone/>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11150" cy="36576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10" w:right="264" w:bottom="967" w:left="1106" w:header="0" w:footer="3" w:gutter="0"/>
          <w:cols w:space="720"/>
          <w:noEndnote/>
          <w:rtlGutter w:val="0"/>
          <w:docGrid w:linePitch="360"/>
        </w:sectPr>
      </w:pPr>
    </w:p>
    <w:p>
      <w:pPr>
        <w:pStyle w:val="Style3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20" w:right="0" w:firstLine="0"/>
        <w:jc w:val="left"/>
      </w:pPr>
      <w:r>
        <mc:AlternateContent>
          <mc:Choice Requires="wps">
            <w:drawing>
              <wp:anchor distT="0" distB="0" distL="0" distR="0" simplePos="0" relativeHeight="125829383" behindDoc="0" locked="0" layoutInCell="1" allowOverlap="1">
                <wp:simplePos x="0" y="0"/>
                <wp:positionH relativeFrom="page">
                  <wp:posOffset>6191250</wp:posOffset>
                </wp:positionH>
                <wp:positionV relativeFrom="paragraph">
                  <wp:posOffset>50800</wp:posOffset>
                </wp:positionV>
                <wp:extent cx="923290" cy="219710"/>
                <wp:wrapSquare wrapText="bothSides"/>
                <wp:docPr id="17" name="Shape 17"/>
                <a:graphic xmlns:a="http://schemas.openxmlformats.org/drawingml/2006/main">
                  <a:graphicData uri="http://schemas.microsoft.com/office/word/2010/wordprocessingShape">
                    <wps:wsp>
                      <wps:cNvSpPr txBox="1"/>
                      <wps:spPr>
                        <a:xfrm>
                          <a:ext cx="923290" cy="2197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А.О. Осипова</w:t>
                            </w:r>
                          </w:p>
                        </w:txbxContent>
                      </wps:txbx>
                      <wps:bodyPr wrap="none" lIns="0" tIns="0" rIns="0" bIns="0">
                        <a:noAutoFit/>
                      </wps:bodyPr>
                    </wps:wsp>
                  </a:graphicData>
                </a:graphic>
              </wp:anchor>
            </w:drawing>
          </mc:Choice>
          <mc:Fallback>
            <w:pict>
              <v:shape id="_x0000_s1043" type="#_x0000_t202" style="position:absolute;margin-left:487.5pt;margin-top:4.pt;width:72.700000000000003pt;height:17.300000000000001pt;z-index:-125829370;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А.О. Осипова</w:t>
                      </w:r>
                    </w:p>
                  </w:txbxContent>
                </v:textbox>
                <w10:wrap type="square" anchorx="page"/>
              </v:shape>
            </w:pict>
          </mc:Fallback>
        </mc:AlternateContent>
      </w: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Осипова Анна Олеговна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27Е9Е546В1326В2АА30С0СО0А93С7С64</w:t>
      </w:r>
    </w:p>
    <w:p>
      <w:pPr>
        <w:pStyle w:val="Style30"/>
        <w:keepNext w:val="0"/>
        <w:keepLines w:val="0"/>
        <w:widowControl w:val="0"/>
        <w:shd w:val="clear" w:color="auto" w:fill="auto"/>
        <w:bidi w:val="0"/>
        <w:spacing w:before="0" w:after="580" w:line="240" w:lineRule="auto"/>
        <w:ind w:right="0" w:firstLine="0"/>
        <w:jc w:val="left"/>
      </w:pP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4E4E4E"/>
          <w:spacing w:val="0"/>
          <w:w w:val="100"/>
          <w:position w:val="0"/>
          <w:shd w:val="clear" w:color="auto" w:fill="auto"/>
          <w:lang w:val="ru-RU" w:eastAsia="ru-RU" w:bidi="ru-RU"/>
        </w:rPr>
        <w:t xml:space="preserve">16.08.2023 </w:t>
      </w:r>
      <w:r>
        <w:rPr>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08.11.2024</w:t>
      </w:r>
    </w:p>
    <w:p>
      <w:pPr>
        <w:pStyle w:val="Style37"/>
        <w:keepNext w:val="0"/>
        <w:keepLines w:val="0"/>
        <w:widowControl w:val="0"/>
        <w:shd w:val="clear" w:color="auto" w:fill="auto"/>
        <w:bidi w:val="0"/>
        <w:spacing w:before="0" w:after="90" w:line="240" w:lineRule="auto"/>
        <w:ind w:left="374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3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3820" w:right="0" w:firstLine="0"/>
        <w:jc w:val="left"/>
      </w:pPr>
      <w:r>
        <w:rPr>
          <w:color w:val="E8E8E8"/>
          <w:spacing w:val="0"/>
          <w:w w:val="100"/>
          <w:position w:val="0"/>
          <w:shd w:val="clear" w:color="auto" w:fill="auto"/>
          <w:lang w:val="ru-RU" w:eastAsia="ru-RU" w:bidi="ru-RU"/>
        </w:rPr>
        <w:t xml:space="preserve">СВЕДЕНИЯ О </w:t>
      </w:r>
      <w:r>
        <w:rPr>
          <w:color w:val="FFFFFF"/>
          <w:spacing w:val="0"/>
          <w:w w:val="100"/>
          <w:position w:val="0"/>
          <w:shd w:val="clear" w:color="auto" w:fill="auto"/>
          <w:lang w:val="ru-RU" w:eastAsia="ru-RU" w:bidi="ru-RU"/>
        </w:rPr>
        <w:t xml:space="preserve">СЕРТИФИКАТЕ </w:t>
      </w:r>
      <w:r>
        <w:rPr>
          <w:color w:val="E8E8E8"/>
          <w:spacing w:val="0"/>
          <w:w w:val="100"/>
          <w:position w:val="0"/>
          <w:shd w:val="clear" w:color="auto" w:fill="auto"/>
          <w:lang w:val="ru-RU" w:eastAsia="ru-RU" w:bidi="ru-RU"/>
        </w:rPr>
        <w:t>ЭП</w:t>
      </w:r>
    </w:p>
    <w:p>
      <w:pPr>
        <w:pStyle w:val="Style30"/>
        <w:keepNext w:val="0"/>
        <w:keepLines w:val="0"/>
        <w:widowControl w:val="0"/>
        <w:shd w:val="clear" w:color="auto" w:fill="auto"/>
        <w:bidi w:val="0"/>
        <w:spacing w:before="0" w:after="0" w:line="240" w:lineRule="auto"/>
        <w:ind w:right="0" w:firstLine="0"/>
        <w:jc w:val="left"/>
        <w:rPr>
          <w:sz w:val="11"/>
          <w:szCs w:val="11"/>
        </w:rPr>
      </w:pPr>
      <w:r>
        <w:rPr>
          <w:color w:val="6C6C6C"/>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Китаева Ирина Сергеевна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009ААВР65767Е2707С2СЕ6А9П0844Е2СВ</w:t>
      </w:r>
      <w:r>
        <w:rPr>
          <w:spacing w:val="0"/>
          <w:w w:val="100"/>
          <w:position w:val="0"/>
          <w:shd w:val="clear" w:color="auto" w:fill="auto"/>
          <w:lang w:val="ru-RU" w:eastAsia="ru-RU" w:bidi="ru-RU"/>
        </w:rPr>
        <w:t>4</w:t>
      </w:r>
    </w:p>
    <w:p>
      <w:pPr>
        <w:pStyle w:val="Style30"/>
        <w:keepNext w:val="0"/>
        <w:keepLines w:val="0"/>
        <w:widowControl w:val="0"/>
        <w:shd w:val="clear" w:color="auto" w:fill="auto"/>
        <w:bidi w:val="0"/>
        <w:spacing w:before="0" w:after="60" w:line="240" w:lineRule="auto"/>
        <w:ind w:right="0" w:firstLine="0"/>
        <w:jc w:val="left"/>
      </w:pPr>
      <w:r>
        <mc:AlternateContent>
          <mc:Choice Requires="wps">
            <w:drawing>
              <wp:anchor distT="0" distB="0" distL="0" distR="0" simplePos="0" relativeHeight="125829385" behindDoc="0" locked="0" layoutInCell="1" allowOverlap="1">
                <wp:simplePos x="0" y="0"/>
                <wp:positionH relativeFrom="page">
                  <wp:posOffset>6228080</wp:posOffset>
                </wp:positionH>
                <wp:positionV relativeFrom="paragraph">
                  <wp:posOffset>63500</wp:posOffset>
                </wp:positionV>
                <wp:extent cx="887095" cy="219710"/>
                <wp:wrapSquare wrapText="bothSides"/>
                <wp:docPr id="19" name="Shape 19"/>
                <a:graphic xmlns:a="http://schemas.openxmlformats.org/drawingml/2006/main">
                  <a:graphicData uri="http://schemas.microsoft.com/office/word/2010/wordprocessingShape">
                    <wps:wsp>
                      <wps:cNvSpPr txBox="1"/>
                      <wps:spPr>
                        <a:xfrm>
                          <a:ext cx="887095" cy="21971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И.С. Китаева</w:t>
                            </w:r>
                          </w:p>
                        </w:txbxContent>
                      </wps:txbx>
                      <wps:bodyPr wrap="none" lIns="0" tIns="0" rIns="0" bIns="0">
                        <a:noAutoFit/>
                      </wps:bodyPr>
                    </wps:wsp>
                  </a:graphicData>
                </a:graphic>
              </wp:anchor>
            </w:drawing>
          </mc:Choice>
          <mc:Fallback>
            <w:pict>
              <v:shape id="_x0000_s1045" type="#_x0000_t202" style="position:absolute;margin-left:490.40000000000003pt;margin-top:5.pt;width:69.850000000000009pt;height:17.300000000000001pt;z-index:-125829368;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И.С. Китаева</w:t>
                      </w:r>
                    </w:p>
                  </w:txbxContent>
                </v:textbox>
                <w10:wrap type="square" anchorx="page"/>
              </v:shape>
            </w:pict>
          </mc:Fallback>
        </mc:AlternateContent>
      </w:r>
      <w:r>
        <w:rPr>
          <w:color w:val="6C6C6C"/>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C6C6C"/>
          <w:spacing w:val="0"/>
          <w:w w:val="100"/>
          <w:position w:val="0"/>
          <w:shd w:val="clear" w:color="auto" w:fill="auto"/>
          <w:lang w:val="ru-RU" w:eastAsia="ru-RU" w:bidi="ru-RU"/>
        </w:rPr>
        <w:t xml:space="preserve">14.11.2023 </w:t>
      </w:r>
      <w:r>
        <w:rPr>
          <w:spacing w:val="0"/>
          <w:w w:val="100"/>
          <w:position w:val="0"/>
          <w:shd w:val="clear" w:color="auto" w:fill="auto"/>
          <w:lang w:val="ru-RU" w:eastAsia="ru-RU" w:bidi="ru-RU"/>
        </w:rPr>
        <w:t xml:space="preserve">по </w:t>
      </w:r>
      <w:r>
        <w:rPr>
          <w:color w:val="6C6C6C"/>
          <w:spacing w:val="0"/>
          <w:w w:val="100"/>
          <w:position w:val="0"/>
          <w:shd w:val="clear" w:color="auto" w:fill="auto"/>
          <w:lang w:val="ru-RU" w:eastAsia="ru-RU" w:bidi="ru-RU"/>
        </w:rPr>
        <w:t>06.02.2025</w:t>
      </w:r>
    </w:p>
    <w:sectPr>
      <w:footnotePr>
        <w:pos w:val="pageBottom"/>
        <w:numFmt w:val="decimal"/>
        <w:numRestart w:val="continuous"/>
      </w:footnotePr>
      <w:type w:val="continuous"/>
      <w:pgSz w:w="11900" w:h="16840"/>
      <w:pgMar w:top="1110" w:right="2030"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734060</wp:posOffset>
              </wp:positionH>
              <wp:positionV relativeFrom="page">
                <wp:posOffset>10039985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2023-5002</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800000000000004pt;margin-top:790.55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2023-5002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2023-5002</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2023-5002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2"/>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11">
    <w:name w:val="Основной текст (5)_"/>
    <w:basedOn w:val="DefaultParagraphFont"/>
    <w:link w:val="Style10"/>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3">
    <w:name w:val="Заголовок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bCs/>
      <w:i w:val="0"/>
      <w:iCs w:val="0"/>
      <w:smallCaps w:val="0"/>
      <w:strike w:val="0"/>
      <w:color w:val="232323"/>
      <w:sz w:val="11"/>
      <w:szCs w:val="11"/>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8"/>
      <w:szCs w:val="38"/>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383838"/>
      <w:sz w:val="12"/>
      <w:szCs w:val="12"/>
      <w:u w:val="none"/>
    </w:rPr>
  </w:style>
  <w:style w:type="character" w:customStyle="1" w:styleId="CharStyle38">
    <w:name w:val="Основной текст (4)_"/>
    <w:basedOn w:val="DefaultParagraphFont"/>
    <w:link w:val="Style37"/>
    <w:rPr>
      <w:rFonts w:ascii="Times New Roman" w:eastAsia="Times New Roman" w:hAnsi="Times New Roman" w:cs="Times New Roman"/>
      <w:b/>
      <w:bCs/>
      <w:i w:val="0"/>
      <w:iCs w:val="0"/>
      <w:smallCaps w:val="0"/>
      <w:strike w:val="0"/>
      <w:color w:val="232323"/>
      <w:sz w:val="11"/>
      <w:szCs w:val="11"/>
      <w:u w:val="none"/>
    </w:rPr>
  </w:style>
  <w:style w:type="paragraph" w:customStyle="1" w:styleId="Style2">
    <w:name w:val="Основной текст (6)"/>
    <w:basedOn w:val="Normal"/>
    <w:link w:val="CharStyle3"/>
    <w:pPr>
      <w:widowControl w:val="0"/>
      <w:shd w:val="clear" w:color="auto" w:fill="auto"/>
      <w:spacing w:after="60"/>
      <w:jc w:val="center"/>
    </w:pPr>
    <w:rPr>
      <w:rFonts w:ascii="Times New Roman" w:eastAsia="Times New Roman" w:hAnsi="Times New Roman" w:cs="Times New Roman"/>
      <w:b w:val="0"/>
      <w:bCs w:val="0"/>
      <w:i w:val="0"/>
      <w:iCs w:val="0"/>
      <w:smallCaps w:val="0"/>
      <w:strike w:val="0"/>
      <w:color w:val="4460A2"/>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30" w:line="286"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10">
    <w:name w:val="Основной текст (5)"/>
    <w:basedOn w:val="Normal"/>
    <w:link w:val="CharStyle11"/>
    <w:pPr>
      <w:widowControl w:val="0"/>
      <w:shd w:val="clear" w:color="auto" w:fill="auto"/>
      <w:spacing w:after="200"/>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12">
    <w:name w:val="Заголовок №2"/>
    <w:basedOn w:val="Normal"/>
    <w:link w:val="CharStyle13"/>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9">
    <w:name w:val="Подпись к картинке"/>
    <w:basedOn w:val="Normal"/>
    <w:link w:val="CharStyle20"/>
    <w:pPr>
      <w:widowControl w:val="0"/>
      <w:shd w:val="clear" w:color="auto" w:fill="auto"/>
    </w:pPr>
    <w:rPr>
      <w:rFonts w:ascii="Times New Roman" w:eastAsia="Times New Roman" w:hAnsi="Times New Roman" w:cs="Times New Roman"/>
      <w:b/>
      <w:bCs/>
      <w:i w:val="0"/>
      <w:iCs w:val="0"/>
      <w:smallCaps w:val="0"/>
      <w:strike w:val="0"/>
      <w:color w:val="232323"/>
      <w:sz w:val="11"/>
      <w:szCs w:val="11"/>
      <w:u w:val="none"/>
    </w:rPr>
  </w:style>
  <w:style w:type="paragraph" w:customStyle="1" w:styleId="Style23">
    <w:name w:val="Заголовок №1"/>
    <w:basedOn w:val="Normal"/>
    <w:link w:val="CharStyle24"/>
    <w:pPr>
      <w:widowControl w:val="0"/>
      <w:shd w:val="clear" w:color="auto" w:fill="auto"/>
      <w:spacing w:after="300"/>
      <w:outlineLvl w:val="0"/>
    </w:pPr>
    <w:rPr>
      <w:rFonts w:ascii="Arial" w:eastAsia="Arial" w:hAnsi="Arial" w:cs="Arial"/>
      <w:b w:val="0"/>
      <w:bCs w:val="0"/>
      <w:i w:val="0"/>
      <w:iCs w:val="0"/>
      <w:smallCaps w:val="0"/>
      <w:strike w:val="0"/>
      <w:sz w:val="38"/>
      <w:szCs w:val="38"/>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383838"/>
      <w:sz w:val="12"/>
      <w:szCs w:val="12"/>
      <w:u w:val="none"/>
    </w:rPr>
  </w:style>
  <w:style w:type="paragraph" w:customStyle="1" w:styleId="Style37">
    <w:name w:val="Основной текст (4)"/>
    <w:basedOn w:val="Normal"/>
    <w:link w:val="CharStyle38"/>
    <w:pPr>
      <w:widowControl w:val="0"/>
      <w:shd w:val="clear" w:color="auto" w:fill="auto"/>
      <w:spacing w:after="100"/>
      <w:ind w:left="3780"/>
    </w:pPr>
    <w:rPr>
      <w:rFonts w:ascii="Times New Roman" w:eastAsia="Times New Roman" w:hAnsi="Times New Roman" w:cs="Times New Roman"/>
      <w:b/>
      <w:bCs/>
      <w:i w:val="0"/>
      <w:iCs w:val="0"/>
      <w:smallCaps w:val="0"/>
      <w:strike w:val="0"/>
      <w:color w:val="232323"/>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s>
</file>