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?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54073/23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?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54073/23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1883410</wp:posOffset>
                </wp:positionH>
                <wp:positionV relativeFrom="paragraph">
                  <wp:posOffset>4355465</wp:posOffset>
                </wp:positionV>
                <wp:extent cx="5318760" cy="66421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18760" cy="664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контролю в сфере закупок товаров, работ, услуг Управления антимонопольной службы по г. Москве (далее - 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48.30000000000001pt;margin-top:342.94999999999999pt;width:418.80000000000001pt;height:52.300000000000004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контролю в сфере закупок товаров, работ, услуг Управления антимонопольной службы по г. Москве (далее - Комиссия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6202680</wp:posOffset>
                </wp:positionH>
                <wp:positionV relativeFrom="paragraph">
                  <wp:posOffset>7382510</wp:posOffset>
                </wp:positionV>
                <wp:extent cx="100584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58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надлежащим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8.40000000000003pt;margin-top:581.30000000000007pt;width:79.200000000000003pt;height:19.900000000000002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надлежащим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2700" distR="12700" simplePos="0" relativeHeight="125829385" behindDoc="0" locked="0" layoutInCell="1" allowOverlap="1">
                <wp:simplePos x="0" y="0"/>
                <wp:positionH relativeFrom="page">
                  <wp:posOffset>6199505</wp:posOffset>
                </wp:positionH>
                <wp:positionV relativeFrom="paragraph">
                  <wp:posOffset>7793990</wp:posOffset>
                </wp:positionV>
                <wp:extent cx="1009015" cy="45402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 действия</w:t>
                              <w:br/>
                              <w:t>проведении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8.15000000000003pt;margin-top:613.70000000000005pt;width:79.450000000000003pt;height:35.75pt;z-index:-125829368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 действия</w:t>
                        <w:br/>
                        <w:t>проведении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«ЭКОДОМ»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екодот97@тай.ги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поселения Кокошкино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500" w:line="211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Гт-коко8ккто@тай.ги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077/06/106-17929/2023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поселения Кокошкино: Абрамова А.Ю. (по доверенности №101 от 11.05.2023), Багаудинова П.Н. (по доверенности №100 от 10.05.2023),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отсутствие представителей ООО «ЭКОДОМ», уведомленных образом посредством функционала Единой информационной системы, рассмотрев жалобу ООО «ЭКОДОМ» (далее — Заявитель) Администрации поселения Кокошкино (далее — Заказчик) при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открытого конкурса в электронной форме на право заключения контракта на выполнение работ по комплексному содержанию дворовых территорий поселения Кокошкино в летний и зимний периоды 2024 г. (Закупка №0148300012423000032) (далее —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запрашиваемые посредством функционала Единой информационной системы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 на то, что Заказчиком неправомерно утвержден порядок оценки по детализирующему показателю: «Общая цена исполненных участником закупки договоров», нестоимостного критерия «Квалификация участников закупки», в части установления опыта исполнения сопоставимых работ исключительно по содержанию дворовых территорий.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8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8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94" w:right="539" w:bottom="752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извещением об осуществлении закупки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2023-61601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Абз.1 п.1 Постановления Постановление №2604 утверждено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в случае применения показателя оценки, предусмотренного пп.«в» п.24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п.25 Порядка для оценки заявок по показателям оценки, предусмотренным пунктом 24 настоящего Положения, применяются детализирующие показатели.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согласно извещению об осуществлении закупки Заказчиком установлен, в том числе, следующий порядок оценки заявок по детализирующему показателю «Общее количество исполненных участником закупки договоров»: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производится на основании представленных участником документов, подтверждающих исполнение контрактов/договоров.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документам для оценки показателя: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Предмет контракта(ов) (договора(ов),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 - Под работами (услугами) сопоставимого характера понимаются: содержание дворовых территорий.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документов, подтверждающих наличие у участника закупки опыта выполнения работ, связанного с предметом контракта: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копия исполненного контракта (договора) на выполнение работ (оказание услуг) сопоставимого характера;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6" w:val="left"/>
        </w:tabs>
        <w:bidi w:val="0"/>
        <w:spacing w:before="0" w:after="0" w:line="233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162" w:left="107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копия акта (актов) приемки выполненных работ, оказанных услуг, составленные при исполнении такого договора(ов) (контракта(ов)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неправомерное, по его мнению, положение порядка оценки заявок по детализирующему показателю «Общее количество исполненных участником закупки договоров», в части установления опыта исполнения сопоставимых работ исключительно по содержанию дворовых территорий, вместе с тем, по мнению Заявителя, сопоставимыми с предметом контракта также являются работы по по уборке зданий, сооружений, ввиду чего Заказчику надлежало включить в вышеуказанные работы в перечень связанных с предметом контракта (сопоставимых) работ, что следует из положений Постановления Правительства РФ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№2571).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Комиссией Управления также установлено, что в составе извещения данной закупочной процедуры Заказчиком в соответствии с позицией 36 раздела VI приложения к Постановлению №2571 установлены дополнительные требования к участникам закупки о наличии опыта исполнения участником закупки договора, предусматривающего оказание услуг по уборке зданий, сооружений, прилегающих к ним территорий.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оспариваемые условия сопоставимости принимаемых к учету контрактов (договоров) установлены Заказчиком с учетом особенностей объекта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выполнение работ по комплексному содержанию дворовых территорий существенно отличается от работ по уборке зданий,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Выполнение работ по комплексному содержанию дворовых территорий требует определенных навыков: уборки, в том числе механизированной, дворовых территорий от мусора и снега; обработки противогололедными материалами и тд.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должного опыта Подрядчик не сможет обеспечить надлежащее санитарно</w:t>
        <w:softHyphen/>
        <w:t>техническое состояние придомовых территорий, внутриквартальных проездов, детских и спортивных площадок, объектов благоустройства поселения Кокошкино.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Постановлением №2604 однозначно не определено понятие сопоставимости работ для подобного объекта закупки, ввиду чего заказчики вправе самостоятельно определять сопоставимые с предметом контракта работы.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прерогатива определить предмет договора, оцениваемого по детализирующему показателю, содержание такого предмета принадлежит Заказчику.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48" w:right="536" w:bottom="68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вышеизложенного, поскольку Заказчик наделен правом самостоятельно раскрыть определение критериев для надлежащего описания порядка оценки с целью выявления лучших условий исполнения контракта, у Комиссии Управления отсутствуют правовые основания для признания Заказчика нарушившим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2023-61601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нормы действующего законодательства о контрактной системе при установлении в порядке оценки показателя сопоставимого характера, что под аналогичными (сопоставимыми) работами для целей оценки заявок в настоящем конкурсе понимается содержание дворовых территорий.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установлено, что на особую специфику объекта закупки также указывает и нормативная документация отраженная в разделе 7 технического задания, в соответствии с которой необходимо выполнять работы, так, например, Распоряжение ДепТЭХ г. Москвы от 25.10.2017 № 01-01-14-226/17 «Об утверждении Регламента выполнения работ по комплексному содержанию дворовых территорий в городе Москве», Постановление Правительства Москвы от 09.11.1999 № 1018 «Об утверждении Правил санитарного содержания территорий, организации уборки и обеспечения чистоты и порядка в г. Москве», Распоряжение ДЖКХиБ города Москвы от 19.12.2011 № 05-14-833/1 «Об утверждении Инструкции по организации и технологии летней уборки, комплексному содержанию дворовых территорий и внутриквартальных проездов», Распоряжением ДЖКХиБ города Москвы от 11.10.2010 №05-14-391/0 «О совершенствовании деятельности по санитарному содержанию дворовых территорий и внутриквартальных проездов города Москвы» и тд.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 же время,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Заявителем в составе жалобы не приведено нормативного обоснования, что оспариваемый показатель оценки не отвечает требованиям действующего законодательства о контрактной системе, оставляет оценку заявок на субъективное мнение комиссии Заказчика или каким-либо иным образом ограничивает количество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48" w:right="536" w:bottom="114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«ЭКОДОМ» на действия Администрации поселения Кокошкино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04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5094605</wp:posOffset>
                </wp:positionH>
                <wp:positionV relativeFrom="paragraph">
                  <wp:posOffset>12700</wp:posOffset>
                </wp:positionV>
                <wp:extent cx="2118360" cy="252730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1836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определение поставщика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01.15000000000003pt;margin-top:1.pt;width:166.80000000000001pt;height:19.900000000000002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определение поставщика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483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8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2562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7.950000000000003pt;margin-top:26.pt;width:143.75pt;height:19.900000000000002pt;z-index:-125829364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9430" simplePos="0" relativeHeight="125829391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403225</wp:posOffset>
            </wp:positionV>
            <wp:extent cx="353695" cy="536575"/>
            <wp:wrapTopAndBottom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3479165</wp:posOffset>
                </wp:positionH>
                <wp:positionV relativeFrom="paragraph">
                  <wp:posOffset>805815</wp:posOffset>
                </wp:positionV>
                <wp:extent cx="127698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3.94999999999999pt;margin-top:63.450000000000003pt;width:100.5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494665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50505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0.35000000000002pt;margin-top:38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50505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92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330200</wp:posOffset>
                </wp:positionV>
                <wp:extent cx="1121410" cy="2527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8.44999999999999pt;margin-top:26.pt;width:88.299999999999997pt;height:19.900000000000002pt;z-index:-125829361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067961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ЕЕ87Е758АЕ5АСС096СЕ0АЕ9125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483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216535" distL="0" distR="0" simplePos="0" relativeHeight="12582939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76200</wp:posOffset>
                </wp:positionV>
                <wp:extent cx="1341120" cy="2527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7.950000000000003pt;margin-top:6.pt;width:105.60000000000001pt;height:19.900000000000002pt;z-index:-125829359;mso-wrap-distance-left:0;mso-wrap-distance-top: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9430" simplePos="0" relativeHeight="125829396" behindDoc="0" locked="0" layoutInCell="1" allowOverlap="1">
            <wp:simplePos x="0" y="0"/>
            <wp:positionH relativeFrom="page">
              <wp:posOffset>3021965</wp:posOffset>
            </wp:positionH>
            <wp:positionV relativeFrom="paragraph">
              <wp:posOffset>149225</wp:posOffset>
            </wp:positionV>
            <wp:extent cx="347345" cy="396240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237490</wp:posOffset>
                </wp:positionV>
                <wp:extent cx="1725295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0.35000000000002pt;margin-top:18.699999999999999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216535" distL="0" distR="0" simplePos="0" relativeHeight="125829397" behindDoc="0" locked="0" layoutInCell="1" allowOverlap="1">
                <wp:simplePos x="0" y="0"/>
                <wp:positionH relativeFrom="page">
                  <wp:posOffset>6286500</wp:posOffset>
                </wp:positionH>
                <wp:positionV relativeFrom="paragraph">
                  <wp:posOffset>76200</wp:posOffset>
                </wp:positionV>
                <wp:extent cx="887095" cy="2527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70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95.pt;margin-top:6.pt;width:69.850000000000009pt;height:19.900000000000002pt;z-index:-125829356;mso-wrap-distance-left:0;mso-wrap-distance-top: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ООСС5А1А1С3030775Е8423Е1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320" w:right="0" w:firstLine="0"/>
        <w:jc w:val="left"/>
      </w:pPr>
      <w:r>
        <w:drawing>
          <wp:anchor distT="0" distB="0" distL="114300" distR="1903730" simplePos="0" relativeHeight="125829399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3479165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73.94999999999999pt;margin-top:36.450000000000003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151765</wp:posOffset>
                </wp:positionV>
                <wp:extent cx="1725295" cy="25590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70.35000000000002pt;margin-top:11.95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9696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4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2023-61601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2023-61601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10261600</wp:posOffset>
              </wp:positionV>
              <wp:extent cx="71310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50000000000001pt;margin-top:808.pt;width:56.1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2023-61601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4.70000000000005pt;width:56.6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2023-61601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2023-61601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57.200000000000003pt;margin-top:794.70000000000005pt;width:56.64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2023-61601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44999999999999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3928745</wp:posOffset>
              </wp:positionH>
              <wp:positionV relativeFrom="page">
                <wp:posOffset>431800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35000000000002pt;margin-top:34.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44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09.44999999999999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2"/>
      <w:szCs w:val="12"/>
      <w:u w:val="none"/>
    </w:rPr>
  </w:style>
  <w:style w:type="character" w:customStyle="1" w:styleId="CharStyle33">
    <w:name w:val="Основной текст (6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130" w:line="245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spacing w:after="36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73737"/>
      <w:sz w:val="12"/>
      <w:szCs w:val="12"/>
      <w:u w:val="none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auto"/>
      <w:spacing w:after="100"/>
      <w:ind w:left="36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3E3E3"/>
      <w:sz w:val="12"/>
      <w:szCs w:val="12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