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54074/23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54074/23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«МираИда»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тнаМа.тГо@дтай.сот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Ф.И. Иноземцева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д1&lt;Ь36@/с1га\лпо8.П1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Шакирова В.Р.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^р8как^^а@та^1.^и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077/06/106-17927/2023 о нарушении</w:t>
        <w:br/>
        <w:t>законодательства о контрактной системе</w:t>
      </w:r>
    </w:p>
    <w:p>
      <w:pPr>
        <w:pStyle w:val="Style14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«МираИда»: Толмачева Д.М. (по доверенности № б/н от 09.10.2023);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Ф.И. Иноземцева ДЗМ»: Лещинской А.И. (по доверенности №11 от 09.01.2023),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Шакирова В.Р., о времени и порядке заседания Комиссии Управления уведомлены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«МираИда» (далее — Заявитель) на действия ГБУЗ «ГКБ им. Ф.И. Иноземцева ДЗМ» (далее — Заказчик) при проведении электронного аукциона на право заключения контракта на поставку наборов для катетеризации центральных вен (среди субъектов малого предпринимательства и социально ориентированных некоммерческих организаций) для нужд ГБУЗ «ГКБ им. Ф.И. Иноземцева ДЗМ» (Закупка №0373200052323000941) (далее - аукцион) в соответствии с Федеральным законом от 05.04.2013 №44-ФЗ «О контрактной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 </w:t>
      </w:r>
      <w:r>
        <w:rPr>
          <w:rStyle w:val="CharStyle7"/>
        </w:rPr>
        <w:t>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признании заявки победителя аукциона соответствующей, так как в составе заявки победителя предложены к поставке товары не соответствующие требованиям описания объекта закупки, а также данным представленного в составе заявки регистрационного удостоверения.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посредством Единой информационной системой,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04.12.2023 №ИЭА1 заявка участника ИП Шакирова В.Р. (идентификационный номер заявки 3) признана соответствующей требованиям извещения об осуществлении закупки. Также ИП Шакирова В.Р. признан победителем данной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Заказчиком в описании объекта закупки установлены требования к закупаемому медицинскому изделию, в частности, по п. 1: «Набор для катетеризации центральных вен, кратковременного использования»: Длина иглы: &gt;= 63.5 мм.; п. 2: «Набор для катетеризации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центральных вен, кратковременного использования»: Длина иглы: &gt;= 70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пп. 6 п. 14 Информационной карты данной закупочной процедуры установлено, что заявка участника закупки должна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в том числе копии регистрационных удостоверений на товары медицинского назначения или реквизиты этих удостоверений.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after="0" w:line="22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2" w:right="536" w:bottom="93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победителя ИП Шакирова В.Р. представлены характеристики поставляемого медицинского изделия, в частности: пп. 1, 2: «Набор для катетеризации центральных вен, кратковременного использования. Наименование в соответствии с РУ: Набор для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катетеризации центральных вен АВ^Е», производителя «биапддопд ВаШе МеШса1 ТесЪпо1оду. Страна происхождения: Китай»: Длина иглы: 70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составе заявки представлено в том числе регистрационное удостоверение №РЗН 2020/9631 от 11.02.2020 на медицинское изделие «Набор для катетеризации центральных вен АВ^Е», производителя «Гуандун Байхэ Медикал Текнолоджи Ко., Лтд», Китай.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заявке победителя указаны характеристики предлагаемых к поставке товаров, которые не противоречит описанию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инструкции к медицинскому изделию в составе регистрационного удостоверения № РЗН 2020/9631 от 11.02.2020 в зависимости от варианта исполнения, наличествуют проводниковые иглы длинами 33, 38 или 65 мм, при этом, длина 70 мм в инструкции не отражена.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и в самой инструкции, в приложении к которой перечислены варианты исполнения с указанием длин игл, однако, длина иглы 70 мм в приложении к инструкции отсутствует.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что медицинское изделие «Набор для катетеризации центральных вен АВ^Е», с длиной проводниковой иглы 70 мм, в соответствии с регистрационным удостоверением № РЗН 2020/9631 от 11.02.2020 на территории Российской Федерации не зарегистрировано.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на заседании Комиссии Управления представителем Заказчика представлено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2023-61599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226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2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2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1" w:val="left"/>
        </w:tabs>
        <w:bidi w:val="0"/>
        <w:spacing w:before="0" w:after="0" w:line="228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228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2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25" w:val="left"/>
        </w:tabs>
        <w:bidi w:val="0"/>
        <w:spacing w:before="0" w:after="0" w:line="22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ИП Шакирова В.Р. соответствующей требованиям извещения, является неправомерным и принято в нарушение пп. «а» п.1 ч.5 ст. 49 Закона о контрактной системе, что содержит признаки состава административного правонарушения, ответственность за которое предусмотрена ч.7</w:t>
        <w:tab/>
        <w:t>ст.7.30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0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«МираИда» на действия комиссии ГБУЗ «ГКБ им. Ф.И. Иноземцева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0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нарушение пп. «а» п.1 ч.5 ст. 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0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01" w:val="left"/>
        </w:tabs>
        <w:bidi w:val="0"/>
        <w:spacing w:before="0" w:after="28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290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129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2562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0.pt;width:143.75pt;height:19.900000000000002pt;z-index:-125829372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3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4.39999999999998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1295" distL="0" distR="0" simplePos="0" relativeHeight="125829384" behindDoc="0" locked="0" layoutInCell="1" allowOverlap="1">
                <wp:simplePos x="0" y="0"/>
                <wp:positionH relativeFrom="page">
                  <wp:posOffset>6070600</wp:posOffset>
                </wp:positionH>
                <wp:positionV relativeFrom="paragraph">
                  <wp:posOffset>127000</wp:posOffset>
                </wp:positionV>
                <wp:extent cx="112458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pt;margin-top:10.pt;width:88.549999999999997pt;height:19.900000000000002pt;z-index:-125829369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067961ЕЕ87Р758АЕ5АСО096СЕ0АЕ9125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8" w:right="527" w:bottom="356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86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5pt;margin-top:9.pt;width:105.60000000000001pt;height:19.699999999999999pt;z-index:-125829367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4670" simplePos="0" relativeHeight="125829388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4.39999999999998pt;margin-top:21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9" behindDoc="0" locked="0" layoutInCell="1" allowOverlap="1">
                <wp:simplePos x="0" y="0"/>
                <wp:positionH relativeFrom="page">
                  <wp:posOffset>6292850</wp:posOffset>
                </wp:positionH>
                <wp:positionV relativeFrom="paragraph">
                  <wp:posOffset>114300</wp:posOffset>
                </wp:positionV>
                <wp:extent cx="88709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5.5pt;margin-top:9.pt;width:69.850000000000009pt;height:19.699999999999999pt;z-index:-125829364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5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0ОСС5А1А1С303О775Е8423Е1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2907030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3401060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7.80000000000001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4.39999999999998pt;margin-top:11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28.03.2023 по 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8" w:right="527" w:bottom="138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10128250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2023-61599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97.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2023-61599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10146030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8.89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10128250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2023-61599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97.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2023-61599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0000000000001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6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line="226" w:lineRule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100"/>
      <w:ind w:left="1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