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815975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54135/23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25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54135/23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63500" distB="0" distL="114300" distR="114300" simplePos="0" relativeHeight="125829381" behindDoc="0" locked="0" layoutInCell="1" allowOverlap="1">
            <wp:simplePos x="0" y="0"/>
            <wp:positionH relativeFrom="page">
              <wp:posOffset>709295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ФГУП «Радон»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ОА8етсЪепко@гадоп.ги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«Элемент»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4060@тЪох.ги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077/06/106-17742/2023 о нарушении</w:t>
        <w:br/>
        <w:t>законодательства о контрактной системе</w:t>
        <w:br/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при участии представителей ФГУП «Радон»: Я.Н. Попова (дов. № 335/386-ДОВ от 18.08.2023), А.Е. Шелкова (дов. № 335/276-ДОВ от 20.12.2022),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«Элемент», о времени и порядке заседания Комиссии Управления уведомленных надлежащим образом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ООО «Элемент» (далее — Заявитель) на действия ФГУП «Радон» (далее — Заказчик) при проведении электронных аукционов на право заключения государственных контрактов на оказание услуг «Разработка и внедрение автоматизированной системы «Автоматизированная система электронных журналов» для нужд участка хранения РАО и «Разработка и внедрение автоматизированной системы «Система импорта исторических данных» для нужд участка учета и контроля РВ и РАО (Закупки №№ 0573100027723000971, 0573100027723000962) (далее - электронный аукцион, аукцион) в соответствии 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комиссии по осуществлению закупок Заказчика (далее - комиссия Заказчика) при проведении электронных аукционов.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неправомерные действия комиссий Заказчика, выразившиеся в неправомерном признании заявок на участие в аукционах не соответствующими требованиям извещений об осуществлении закупок 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протоколам подведения итогов определения поставщика (подрядчика, исполнителя) №ИЭА1 от 04.12.2023 и от 05.12.2023 заявки Заявителя (идентификационный номер 1, 2) отклонены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«п.2 ч.12 ст.48 №44-ФЗ - Непредставление информации и документов, предусмотренных п.2 и 3 ч.6 ст.43 Закона №44 ФЗ, несоответствие таких информации и документов требованиям, установленным в извещении об осуществлении закупки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электронного аукциона Участники электронного аукциона должны отвечать требованиям, установленным в ч.1 ст. 31 Закона 44-ФЗ, в том числе иметь: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Лицензию ФСБ на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предпринимателя); 2) лицензию ФСТЭК на деятельность по технической защите конфиденциальной информации. (документы, подтверждающие соответствие участника закупки указанному требованию, предоставляются в составе заявки)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86" w:lineRule="auto"/>
        <w:ind w:left="0" w:right="0" w:firstLine="78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Участник закупки не предоставил в составе заявки документы, подтверждающие наличие Лицензии ФСБ на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2023-61366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предпринимателя).»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ч.2.1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пп. 4, 5, 18, 30, 42, 49, 54 и 59 ч.1 ст.93 Закона о контрактной системе,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рамках исполнения требования п.12 ч.1 ст.42 Закона о контрактной системе в извещениях о проведении электронных аукционов установлены требования к участникам закупки в соответствии с п.1 ч.1 ст.31 Закона о контрактной системе,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00" w:right="535" w:bottom="725" w:left="108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«Участники электронного аукциона должны отвечать требованиям, установленным в ч.1 ст.31 Закона № 44-ФЗ в том числе иметь: 1) Лицензию ФСБ на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2023-61366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обеспечения собственных нужд юридического лица или индивидуального предпринимателя); 2) лицензию ФСТЭК на деятельность по технической защите конфиденциальной информации. (документы, подтверждающие соответствие участника закупки указанному требованию, предоставляются в составе заявки)».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своей жалобы Заявитель указывает на то, что выписка из единого государственного реестра юридических лиц ООО «Элемент» на странице №7 содержит информацию о лицензии на Разработку, производство, распространение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защищённыхх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№ Л 051-00105-78 /00661277 от 17.07.2023 года, выданной Управлением федеральной службы безопасности Российской Федерации по городу Санкт-Петербургу и Ленинградской области.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Комиссией Управления установлено, что предоставление лицензии ФСБ не следовало из требований к содержанию, составу заявок на участие.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на основании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в том числе информацию и документы об участнике закупки документы, подтверждающие соответствие участника закупки требованиям, установленным п.1 ч.1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согласно извещения о проведении электронных аукционов Требования к содержанию, составу заявки на участие в закупках изложены в размещенных документах «Требования к содержанию, составу заявки на участие (услуги)», «Требования к содержанию, составу заявки на участие».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7" w:right="546" w:bottom="1114" w:left="108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ни раздел требований к содержанию, составу заявки на участие в закупка ни размещенные документы «Требования к содержанию, составу заявки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участие (услуги)», «Требования к содержанию, составу заявки на участие» не содержат исчерпывающих требований к документам и сведениям, подтверждающим соответствие участника закупки требованиям ч.1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об отсутствии у комиссий Заказчика достаточных оснований для признания заявок Заявителя не соответствующими требованиям извещений о проведении электронных аукционов ввиду отсутствия в требованиях к содержанию заявки, предусмотренных п.3 ч.2 ст.42 Закона о контрактной системе требований к конкретным документам и сведениям, подтверждающим соответствие участника требованиям ч.1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348" w:lineRule="auto"/>
        <w:ind w:left="0" w:right="0" w:firstLine="72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591" w:left="1106" w:header="0" w:footer="1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 5 ч.1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2023-61366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Заказчика об отклонении заявок Заявителя по основанию, указанному в протоколах подведения итогов определения поставщика (подрядчика, исполнителя), является неправомерным и нарушает положения пп. 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ч.2 ст.7.30 Кодекса об административных правонарушениях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в ходе проведения внеплановой проверки Комиссией Управления установлено, что Заказчиком не установлен исчерпывающий перечень документов и сведений, подтверждающих соответствие участника закупки требованиям ч.1 ст.31 Закона о контрактной системе, то есть подтверждающих наличие у участника лицензий, указанных в составе требований, предусмотренных п.12 ч.1 ст.42 Закона о контрактной системе, что свидетельствует о несоблюдении Заказчиком требований п.3 ч.2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Заказчиком нарушены требования п.3 ч.2 ст.42 Закона о контрактной системе, что также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жалобы ООО «Элемент» на действия ФГУП «Радон» 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Заказчика нарушение пп. «а» п.1 ч.5 ст.49, п.3 ч.2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0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39" w:bottom="214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82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50000000000001pt;margin-top:42.pt;width:145.70000000000002pt;height:19.699999999999999pt;z-index:-125829371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9430" simplePos="0" relativeHeight="125829384" behindDoc="0" locked="0" layoutInCell="1" allowOverlap="1">
            <wp:simplePos x="0" y="0"/>
            <wp:positionH relativeFrom="page">
              <wp:posOffset>3017520</wp:posOffset>
            </wp:positionH>
            <wp:positionV relativeFrom="paragraph">
              <wp:posOffset>606425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3477895</wp:posOffset>
                </wp:positionH>
                <wp:positionV relativeFrom="paragraph">
                  <wp:posOffset>1009015</wp:posOffset>
                </wp:positionV>
                <wp:extent cx="127698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3.85000000000002pt;margin-top:79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3432175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0.25pt;margin-top:54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5" behindDoc="0" locked="0" layoutInCell="1" allowOverlap="1">
                <wp:simplePos x="0" y="0"/>
                <wp:positionH relativeFrom="page">
                  <wp:posOffset>6184265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6.94999999999999pt;margin-top:42.pt;width:81.100000000000009pt;height:19.699999999999999pt;z-index:-125829368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00СА1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7306423В8С790А31806189СОЕ338Е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3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3023235</wp:posOffset>
            </wp:positionH>
            <wp:positionV relativeFrom="paragraph">
              <wp:posOffset>38100</wp:posOffset>
            </wp:positionV>
            <wp:extent cx="311150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3416300</wp:posOffset>
                </wp:positionH>
                <wp:positionV relativeFrom="paragraph">
                  <wp:posOffset>111125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9.pt;margin-top:8.7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3017520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3477895</wp:posOffset>
                </wp:positionH>
                <wp:positionV relativeFrom="paragraph">
                  <wp:posOffset>466090</wp:posOffset>
                </wp:positionV>
                <wp:extent cx="127698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3.85000000000002pt;margin-top:36.700000000000003pt;width:100.5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3432175</wp:posOffset>
                </wp:positionH>
                <wp:positionV relativeFrom="paragraph">
                  <wp:posOffset>151765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0.25pt;margin-top:11.95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10296525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350000000000001pt;margin-top:810.7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100000000000001pt;margin-top:794.70000000000005pt;width:57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436880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0000000000001pt;margin-top:34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0000000000002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436880</wp:posOffset>
              </wp:positionV>
              <wp:extent cx="6731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30000000000001pt;margin-top:34.399999999999999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0000000000002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