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723265</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726440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723265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6.950000000000003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6194425</wp:posOffset>
                </wp:positionH>
                <wp:positionV relativeFrom="paragraph">
                  <wp:posOffset>4937760</wp:posOffset>
                </wp:positionV>
                <wp:extent cx="984250" cy="228600"/>
                <wp:wrapSquare wrapText="left"/>
                <wp:docPr id="9" name="Shape 9"/>
                <a:graphic xmlns:a="http://schemas.openxmlformats.org/drawingml/2006/main">
                  <a:graphicData uri="http://schemas.microsoft.com/office/word/2010/wordprocessingShape">
                    <wps:wsp>
                      <wps:cNvSpPr txBox="1"/>
                      <wps:spPr>
                        <a:xfrm>
                          <a:ext cx="984250" cy="2286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5" type="#_x0000_t202" style="position:absolute;margin-left:487.75pt;margin-top:388.80000000000001pt;width:77.5pt;height:18.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side="left"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ООО «Термика»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ул. Дружбы, д. 41, пом. 7, п.г.т. Березовка, Березовский район, Красноярский край, 662520</w:t>
      </w:r>
    </w:p>
    <w:p>
      <w:pPr>
        <w:pStyle w:val="Style10"/>
        <w:keepNext w:val="0"/>
        <w:keepLines w:val="0"/>
        <w:widowControl w:val="0"/>
        <w:shd w:val="clear" w:color="auto" w:fill="auto"/>
        <w:bidi w:val="0"/>
        <w:spacing w:before="0" w:after="260" w:line="240" w:lineRule="auto"/>
        <w:ind w:left="1020" w:right="0" w:firstLine="0"/>
        <w:jc w:val="left"/>
      </w:pPr>
      <w:r>
        <w:rPr>
          <w:color w:val="000000"/>
          <w:spacing w:val="0"/>
          <w:w w:val="100"/>
          <w:position w:val="0"/>
          <w:shd w:val="clear" w:color="auto" w:fill="auto"/>
          <w:lang w:val="ru-RU" w:eastAsia="ru-RU" w:bidi="ru-RU"/>
        </w:rPr>
        <w:t>гЪ16@1181:.ги; шГо@1:егт1са.8и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КГБУЗ «КМКБСМП им. Н.С. Карповича» ул. Курчатова, д. 17, г. Красноярск, 660062</w:t>
      </w:r>
    </w:p>
    <w:p>
      <w:pPr>
        <w:pStyle w:val="Style10"/>
        <w:keepNext w:val="0"/>
        <w:keepLines w:val="0"/>
        <w:widowControl w:val="0"/>
        <w:shd w:val="clear" w:color="auto" w:fill="auto"/>
        <w:bidi w:val="0"/>
        <w:spacing w:before="0" w:after="260" w:line="240" w:lineRule="auto"/>
        <w:ind w:left="1020" w:right="0" w:firstLine="0"/>
        <w:jc w:val="left"/>
      </w:pPr>
      <w:r>
        <w:rPr>
          <w:color w:val="000000"/>
          <w:spacing w:val="0"/>
          <w:w w:val="100"/>
          <w:position w:val="0"/>
          <w:shd w:val="clear" w:color="auto" w:fill="auto"/>
          <w:lang w:val="ru-RU" w:eastAsia="ru-RU" w:bidi="ru-RU"/>
        </w:rPr>
        <w:t>Ъ§тр@кга§Ъ8тр.ги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Агентство государственного заказа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Красноярского края</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проспект Мира, д.10, оф.53, г.Красноярск, 660049</w:t>
      </w:r>
    </w:p>
    <w:p>
      <w:pPr>
        <w:pStyle w:val="Style10"/>
        <w:keepNext w:val="0"/>
        <w:keepLines w:val="0"/>
        <w:widowControl w:val="0"/>
        <w:shd w:val="clear" w:color="auto" w:fill="auto"/>
        <w:bidi w:val="0"/>
        <w:spacing w:before="0" w:after="260" w:line="240" w:lineRule="auto"/>
        <w:ind w:left="1020" w:right="0" w:firstLine="0"/>
        <w:jc w:val="left"/>
      </w:pPr>
      <w:r>
        <w:rPr>
          <w:color w:val="000000"/>
          <w:spacing w:val="0"/>
          <w:w w:val="100"/>
          <w:position w:val="0"/>
          <w:shd w:val="clear" w:color="auto" w:fill="auto"/>
          <w:lang w:val="ru-RU" w:eastAsia="ru-RU" w:bidi="ru-RU"/>
        </w:rPr>
        <w:t>ад2_на2агепко@таП. ги; ад2_рпет@таП.ги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АО «Сбербанк АСТ»</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Большой Саввинский переулок, д. 12, стр.</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9, г. Москва, 119435</w:t>
      </w:r>
    </w:p>
    <w:p>
      <w:pPr>
        <w:pStyle w:val="Style10"/>
        <w:keepNext w:val="0"/>
        <w:keepLines w:val="0"/>
        <w:widowControl w:val="0"/>
        <w:shd w:val="clear" w:color="auto" w:fill="auto"/>
        <w:bidi w:val="0"/>
        <w:spacing w:before="0" w:after="580" w:line="240" w:lineRule="auto"/>
        <w:ind w:left="5320" w:right="0" w:firstLine="0"/>
        <w:jc w:val="left"/>
      </w:pPr>
      <w:r>
        <w:rPr>
          <w:color w:val="000000"/>
          <w:spacing w:val="0"/>
          <w:w w:val="100"/>
          <w:position w:val="0"/>
          <w:shd w:val="clear" w:color="auto" w:fill="auto"/>
          <w:lang w:val="ru-RU" w:eastAsia="ru-RU" w:bidi="ru-RU"/>
        </w:rPr>
        <w:t>т&amp;@§ЪегЪапк-а81:.ги</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 № 024/06/106-3604/2023</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14 декабря 2023 года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 Врио руководителя управления-начальник аналитического отдела М.А. Дударева, члены Комиссии - начальник отдела Грицай М.А., старший государственный инспектор М.А. Косенко (далее - Комиссия), рассмотрев жалобу ООО «Термика» (далее - податель жалобы) на действия аукционной комиссии КГБУЗ «КМКБСМП им. Н.С. Карповича» (далее — заказчик), Агентства государственного заказа Красноярского края (далее — уполномоченный орган) при определении поставщика (подрядчика, исполнителя) путем проведения аукциона в электронной форме «Оказание услуг по сбору, транспортировке, обезвреживанию медицинских отходов класса Б,В для нужд КГБУЗ «КМКБСМП им. Н.С. Карповича» (далее - электронный аукцион), размещенного на электронной торговой площадке АО «Сбербанк АСТ»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адрес Красноярского УФАС России поступила жалоба ООО «Термика» на действия аукционной комиссии при определении поставщика (подрядчика, исполнителя) путем проведения электронного аукциона «Оказание услуг по сбору, транспортировке, обезвреживанию медицинских отходов класса Б,В для нужд КГБУЗ «КМКБСМП им. Н.С. Карповича» с извещением № 0119200000123020770.</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Существо жалобы: нарушение аукционной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w:t>
      </w:r>
    </w:p>
    <w:p>
      <w:pPr>
        <w:pStyle w:val="Style15"/>
        <w:keepNext/>
        <w:keepLines/>
        <w:widowControl w:val="0"/>
        <w:shd w:val="clear" w:color="auto" w:fill="auto"/>
        <w:bidi w:val="0"/>
        <w:spacing w:before="0" w:after="0" w:line="240" w:lineRule="auto"/>
        <w:ind w:left="0" w:right="0" w:firstLine="0"/>
        <w:jc w:val="left"/>
        <w:rPr>
          <w:sz w:val="26"/>
          <w:szCs w:val="26"/>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1"/>
        </w:rPr>
        <w:t>контрактной системе) при рассмотрении заявок участников электронного аукциона.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поступила в адрес Красноярского УФАС России в срок, установленный частью 2 статьи 105 Закона о контрактной системе, соответствует требованиям части 4 статьи 105 указанного закона, в связи с чем подлежит принятию к рассмотрению по существу.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адрес заказчика, уполномоченного органа, подателя жалобы, оператора электронной площадки были направлены уведомления о содержании жалобы с информацией о месте и времени рассмотрения жалобы.</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Рассмотрение жалобы по существу состоялось 14.12.2023 в 11 часов 30 минут в присутствии представителя уполномоченного органа, представителя подателя жалобы, надлежащим образом подтвердивших свои полномочия и личность.</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явку своего представителя не обеспечил, ходатайств не направлял.</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содержания жалобы следует, что аукционной комиссией неправомерно не были учтены договоры/контракты, представленные подателем жалобы в составе заявки в качестве подтверждения опыта участника закупки дополнительным требованиям.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уполномоченного органа с доводами жалобы не согласен, представил мотивированные возражения.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путем проведения аукциона в электронной форме «Оказание услуг по сбору, транспортировке, обезвреживанию медицинских отходов класса Б,В для нужд КГБУЗ «КМКБСМП им. Н.С. Карповича».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p>
    <w:p>
      <w:pPr>
        <w:pStyle w:val="Style10"/>
        <w:keepNext w:val="0"/>
        <w:keepLines w:val="0"/>
        <w:widowControl w:val="0"/>
        <w:shd w:val="clear" w:color="auto" w:fill="auto"/>
        <w:bidi w:val="0"/>
        <w:spacing w:before="0" w:after="0" w:line="240" w:lineRule="auto"/>
        <w:ind w:left="0" w:right="0" w:firstLine="560"/>
        <w:jc w:val="both"/>
        <w:sectPr>
          <w:footerReference w:type="default" r:id="rId9"/>
          <w:footerReference w:type="even" r:id="rId10"/>
          <w:footerReference w:type="first" r:id="rId11"/>
          <w:footnotePr>
            <w:pos w:val="pageBottom"/>
            <w:numFmt w:val="decimal"/>
            <w:numRestart w:val="continuous"/>
          </w:footnotePr>
          <w:pgSz w:w="11900" w:h="16840"/>
          <w:pgMar w:top="967" w:right="532" w:bottom="1264" w:left="109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Частью 3 статьи 31 Закона о контрактной системе установлено, что перечень информации и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 Пунктом 4 постановления Правительства Российской Федерации от 29.12.2021 №2571 «О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w:t>
      </w:r>
    </w:p>
    <w:p>
      <w:pPr>
        <w:pStyle w:val="Style10"/>
        <w:keepNext w:val="0"/>
        <w:keepLines w:val="0"/>
        <w:widowControl w:val="0"/>
        <w:numPr>
          <w:ilvl w:val="0"/>
          <w:numId w:val="1"/>
        </w:numPr>
        <w:shd w:val="clear" w:color="auto" w:fill="auto"/>
        <w:tabs>
          <w:tab w:pos="90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 телекоммуникационной сети «Интернет»);</w:t>
      </w:r>
    </w:p>
    <w:p>
      <w:pPr>
        <w:pStyle w:val="Style10"/>
        <w:keepNext w:val="0"/>
        <w:keepLines w:val="0"/>
        <w:widowControl w:val="0"/>
        <w:numPr>
          <w:ilvl w:val="0"/>
          <w:numId w:val="1"/>
        </w:numPr>
        <w:shd w:val="clear" w:color="auto" w:fill="auto"/>
        <w:tabs>
          <w:tab w:pos="90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10"/>
        <w:keepNext w:val="0"/>
        <w:keepLines w:val="0"/>
        <w:widowControl w:val="0"/>
        <w:numPr>
          <w:ilvl w:val="0"/>
          <w:numId w:val="1"/>
        </w:numPr>
        <w:shd w:val="clear" w:color="auto" w:fill="auto"/>
        <w:tabs>
          <w:tab w:pos="90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исполненный контракт, заключенный в соответствии с Законом о контрактной системе, или договор, заключенный в соответствии Законом о закупках,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извещению о проведении закупки, предметом закупки является оказание услуг по сбору, транспортировке, обезвреживанию медицинских отходов класса Б,В.</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Проанализировав порядок рассмотрения заявок участников электронного аукциона, Комиссия установила, что для подтверждения участником закупки соответствия дополнительным требованиям в соответствии со статей 31 Закона о контрактной системе, принимаются контракты/договоры, предмет которых сопоставим с предметом контракта, заключаемого по результатам определения поставщика (подрядчика, исполнителя).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документами, подтверждающими наличие у участника закупки опыта оказания услуг, являются исполненный договор (договоры), акт (акты) приемки выполненных работ, составленные при исполнении такого договора (договоров).</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если указанная в итоговом акте сдачи-приемки оказанных услуг стоимость оказанных услуг по контракту/договору не совпадает с ценой контракта/договора, участник также предоставляет документ, подтверждающий полное и надлежащее исполнение им обязательств по контракту/договору (копии всех остальных актов выполненных работ по контракту/договору и/или соответствующее письмо от второй Стороны контракта/договора и/или соглашение об уменьшении/увеличении цены контракта/договора либо о расторжении контракта/договора в связи с отсутствием необходимости выполнения части работ).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содержание заявки подателя жалобы и пояснения аукционной комиссии, Комиссия Красноярского УФАС России установила, что аукционной комиссией не был принят к оценке государственный контракт №Ф.103019-21 на оказание услуг по сбору, транспортированию и обезвреживанию медицинских отходов класса опасности «В» термическим способом для нужд «Базового пульмонологического госпиталя» на базе легочно- аллергологического и главного корпуса Краевого Государственного бюджетного учреждения здравоохранения «Красноярская клиническая больница» на сумму 24 922 976,00 рублей, поскольку в составе данного контракта фактическая сумма оказанных услуг по актам не соответствовала сумме, указанной в контракте, а так же отсутствовало соглашение о расторжении договора.</w:t>
      </w:r>
    </w:p>
    <w:p>
      <w:pPr>
        <w:pStyle w:val="Style10"/>
        <w:keepNext w:val="0"/>
        <w:keepLines w:val="0"/>
        <w:widowControl w:val="0"/>
        <w:shd w:val="clear" w:color="auto" w:fill="auto"/>
        <w:bidi w:val="0"/>
        <w:spacing w:before="0" w:after="0" w:line="266" w:lineRule="auto"/>
        <w:ind w:left="0" w:right="0" w:firstLine="740"/>
        <w:jc w:val="both"/>
        <w:rPr>
          <w:sz w:val="24"/>
          <w:szCs w:val="24"/>
        </w:rPr>
        <w:sectPr>
          <w:footnotePr>
            <w:pos w:val="pageBottom"/>
            <w:numFmt w:val="decimal"/>
            <w:numRestart w:val="continuous"/>
          </w:footnotePr>
          <w:pgSz w:w="11900" w:h="16840"/>
          <w:pgMar w:top="1119" w:right="545" w:bottom="607" w:left="1101" w:header="0" w:footer="3"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Учитывая, что аукционная комиссия при рассмотрении заявки подателя жалобы и оценки вышеуказанных договоров/контрактов не могла однозначно из содержания представленных в ее составе документов установить являются ли данные договоры/контракты исполненными аукционная комиссия правомерно не приняла к учету указанные договоры/контракты, поскольку, в том числе Закон о контрактной системе не налагает на аукционную комиссию обязанности по самостоятельному поиску информации с целью установления соответствия представленных договоров/контрактов требованиям </w:t>
      </w:r>
      <w:r>
        <w:rPr>
          <w:color w:val="000000"/>
          <w:spacing w:val="0"/>
          <w:w w:val="100"/>
          <w:position w:val="0"/>
          <w:sz w:val="24"/>
          <w:szCs w:val="24"/>
          <w:shd w:val="clear" w:color="auto" w:fill="auto"/>
          <w:lang w:val="ru-RU" w:eastAsia="ru-RU" w:bidi="ru-RU"/>
        </w:rPr>
        <w:t>2023-22255</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извещения.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вывод коллерируется с позицией Арбитражного суда Красноярского Края по делу №А33-13322/2023.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изложенного Комиссия признает довод жалобы, касающийся рассмотрения заявки подателя жалобы, как необоснованный.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«Термика» необоснованной.</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4" behindDoc="0" locked="0" layoutInCell="1" allowOverlap="1">
                <wp:simplePos x="0" y="0"/>
                <wp:positionH relativeFrom="page">
                  <wp:posOffset>6130925</wp:posOffset>
                </wp:positionH>
                <wp:positionV relativeFrom="paragraph">
                  <wp:posOffset>12700</wp:posOffset>
                </wp:positionV>
                <wp:extent cx="1066800" cy="987425"/>
                <wp:wrapSquare wrapText="left"/>
                <wp:docPr id="15" name="Shape 15"/>
                <a:graphic xmlns:a="http://schemas.openxmlformats.org/drawingml/2006/main">
                  <a:graphicData uri="http://schemas.microsoft.com/office/word/2010/wordprocessingShape">
                    <wps:wsp>
                      <wps:cNvSpPr txBox="1"/>
                      <wps:spPr>
                        <a:xfrm>
                          <a:ext cx="1066800" cy="987425"/>
                        </a:xfrm>
                        <a:prstGeom prst="rect"/>
                        <a:noFill/>
                      </wps:spPr>
                      <wps:txbx>
                        <w:txbxContent>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Дударева</w:t>
                            </w:r>
                          </w:p>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Грицай</w:t>
                            </w:r>
                          </w:p>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Косенко</w:t>
                            </w:r>
                          </w:p>
                        </w:txbxContent>
                      </wps:txbx>
                      <wps:bodyPr lIns="0" tIns="0" rIns="0" bIns="0">
                        <a:noAutoFit/>
                      </wps:bodyPr>
                    </wps:wsp>
                  </a:graphicData>
                </a:graphic>
              </wp:anchor>
            </w:drawing>
          </mc:Choice>
          <mc:Fallback>
            <w:pict>
              <v:shape id="_x0000_s1041" type="#_x0000_t202" style="position:absolute;margin-left:482.75pt;margin-top:1.pt;width:84.pt;height:77.75pt;z-index:-125829369;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Дударева</w:t>
                      </w:r>
                    </w:p>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Грицай</w:t>
                      </w:r>
                    </w:p>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Косенко</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94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Исп.Косенко М.А. тел.(391)2110144</w:t>
      </w:r>
    </w:p>
    <w:sectPr>
      <w:footnotePr>
        <w:pos w:val="pageBottom"/>
        <w:numFmt w:val="decimal"/>
        <w:numRestart w:val="continuous"/>
      </w:footnotePr>
      <w:pgSz w:w="11900" w:h="16840"/>
      <w:pgMar w:top="1119" w:right="546" w:bottom="104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10016490</wp:posOffset>
              </wp:positionV>
              <wp:extent cx="719455" cy="100330"/>
              <wp:wrapNone/>
              <wp:docPr id="11" name="Shape 1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2023-22255</w:t>
                          </w:r>
                        </w:p>
                      </w:txbxContent>
                    </wps:txbx>
                    <wps:bodyPr wrap="none" lIns="0" tIns="0" rIns="0" bIns="0">
                      <a:spAutoFit/>
                    </wps:bodyPr>
                  </wps:wsp>
                </a:graphicData>
              </a:graphic>
            </wp:anchor>
          </w:drawing>
        </mc:Choice>
        <mc:Fallback>
          <w:pict>
            <v:shape id="_x0000_s1037" type="#_x0000_t202" style="position:absolute;margin-left:57.050000000000004pt;margin-top:788.7000000000000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9954260</wp:posOffset>
              </wp:positionV>
              <wp:extent cx="719455" cy="100330"/>
              <wp:wrapNone/>
              <wp:docPr id="13" name="Shape 1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2023-22255</w:t>
                          </w:r>
                        </w:p>
                      </w:txbxContent>
                    </wps:txbx>
                    <wps:bodyPr wrap="none" lIns="0" tIns="0" rIns="0" bIns="0">
                      <a:spAutoFit/>
                    </wps:bodyPr>
                  </wps:wsp>
                </a:graphicData>
              </a:graphic>
            </wp:anchor>
          </w:drawing>
        </mc:Choice>
        <mc:Fallback>
          <w:pict>
            <v:shape id="_x0000_s1039" type="#_x0000_t202" style="position:absolute;margin-left:56.950000000000003pt;margin-top:783.80000000000007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character" w:customStyle="1" w:styleId="CharStyle19">
    <w:name w:val="Основной текст (4)_"/>
    <w:basedOn w:val="DefaultParagraphFont"/>
    <w:link w:val="Style1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18">
    <w:name w:val="Основной текст (4)"/>
    <w:basedOn w:val="Normal"/>
    <w:link w:val="CharStyle19"/>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

<file path=docProps/core.xml><?xml version="1.0" encoding="utf-8"?>
<cp:coreProperties xmlns:cp="http://schemas.openxmlformats.org/package/2006/metadata/core-properties" xmlns:dc="http://purl.org/dc/elements/1.1/">
  <dc:title>Постановление ФАС России от 12.10.2023 по делу N 28/04/7.30-2052/2023Обстоятельства: В извещении и в проекте муниципального контракта содержится противоречивая информация.Меры ответственности: Штраф по ч. ч. 1.4, 2, 2.1 статьи 7.30 КоАП РФ.</dc:title>
  <dc:subject/>
  <dc:creator/>
  <cp:keywords/>
</cp:coreProperties>
</file>