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9"/>
        <w:keepNext/>
        <w:keepLines/>
        <w:widowControl w:val="0"/>
        <w:shd w:val="clear" w:color="auto" w:fill="auto"/>
        <w:tabs>
          <w:tab w:pos="1810"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54171/23</w:t>
      </w:r>
      <w:bookmarkEnd w:id="0"/>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«Дирекция ЖКХИБ ЮАО» 4ех-иао-р4о@тай.ги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Префектура Южного</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административного оакруга города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Москвы</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Ске^пу8ЪеVV82@то8.^и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Чернова Е. В.</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256" w:bottom="621" w:left="1298" w:header="0" w:footer="3" w:gutter="0"/>
          <w:pgNumType w:start="1"/>
          <w:cols w:num="2" w:space="720" w:equalWidth="0">
            <w:col w:w="3806" w:space="1301"/>
            <w:col w:w="4238"/>
          </w:cols>
          <w:noEndnote/>
          <w:titlePg/>
          <w:rtlGutter w:val="0"/>
          <w:docGrid w:linePitch="360"/>
        </w:sectPr>
      </w:pPr>
      <w:r>
        <w:rPr>
          <w:color w:val="000000"/>
          <w:spacing w:val="0"/>
          <w:w w:val="100"/>
          <w:position w:val="0"/>
          <w:shd w:val="clear" w:color="auto" w:fill="auto"/>
          <w:lang w:val="ru-RU" w:eastAsia="ru-RU" w:bidi="ru-RU"/>
        </w:rPr>
        <w:t>0711424@тай.ги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82" w:right="0" w:bottom="638"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077/06/106-17803/2023 о нарушении</w:t>
        <w:br/>
        <w:t>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0" distR="0" simplePos="0" relativeHeight="125829378" behindDoc="0" locked="0" layoutInCell="1" allowOverlap="1">
                <wp:simplePos x="0" y="0"/>
                <wp:positionH relativeFrom="page">
                  <wp:posOffset>1970405</wp:posOffset>
                </wp:positionH>
                <wp:positionV relativeFrom="paragraph">
                  <wp:posOffset>25400</wp:posOffset>
                </wp:positionV>
                <wp:extent cx="5233670" cy="664210"/>
                <wp:wrapSquare wrapText="left"/>
                <wp:docPr id="8" name="Shape 8"/>
                <a:graphic xmlns:a="http://schemas.openxmlformats.org/drawingml/2006/main">
                  <a:graphicData uri="http://schemas.microsoft.com/office/word/2010/wordprocessingShape">
                    <wps:wsp>
                      <wps:cNvSpPr txBox="1"/>
                      <wps:spPr>
                        <a:xfrm>
                          <a:ext cx="5233670" cy="6642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Москва</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по контролю в сфере закупок товаров, работ, услуг Управления Комиссия</w:t>
                            </w:r>
                          </w:p>
                        </w:txbxContent>
                      </wps:txbx>
                      <wps:bodyPr lIns="0" tIns="0" rIns="0" bIns="0">
                        <a:noAutoFit/>
                      </wps:bodyPr>
                    </wps:wsp>
                  </a:graphicData>
                </a:graphic>
              </wp:anchor>
            </w:drawing>
          </mc:Choice>
          <mc:Fallback>
            <w:pict>
              <v:shape id="_x0000_s1034" type="#_x0000_t202" style="position:absolute;margin-left:155.15000000000001pt;margin-top:2.pt;width:412.10000000000002pt;height:52.300000000000004pt;z-index:-12582937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Москва</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по контролю в сфере закупок товаров, работ, услуг Управления Комиссия</w:t>
                      </w:r>
                    </w:p>
                  </w:txbxContent>
                </v:textbox>
                <w10:wrap type="square" side="left" anchorx="page"/>
              </v:shape>
            </w:pict>
          </mc:Fallback>
        </mc:AlternateContent>
      </w:r>
      <w:r>
        <w:rPr>
          <w:b/>
          <w:bCs/>
          <w:color w:val="000000"/>
          <w:spacing w:val="0"/>
          <w:w w:val="100"/>
          <w:position w:val="0"/>
          <w:shd w:val="clear" w:color="auto" w:fill="auto"/>
          <w:lang w:val="ru-RU" w:eastAsia="ru-RU" w:bidi="ru-RU"/>
        </w:rPr>
        <w:t>14.12.2023</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Федеральной антимонопольной службы по г. Москве (далее</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Префекты Южного административного округа г. Москвы: Ходановой Н.А. (по доверенности от 11.01.2023 №б/н),</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Чернова Е.В., ГКУ «Дирекция ЖКХИБ ЮАО»,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12"/>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рассмотрев жалобу ИП Чернова Е.В. (далее — Заявитель) на действия префектуры Южного административного округа города Москвы (далее — Заказчик) при проведении открытого конкурса в электронной форме на право заключения государственного контракта на оказание услуг по комплексному техническому обслуживанию инженерных систем и оборудования зданий префектуры ЮАО города Москвы в 2024 г. (Закупка №0373200086723001335) (далее - аукцион) в соответствии с Федеральным законом от 05.04.2013 №44-ФЗ «О контрактной</w:t>
      </w:r>
    </w:p>
    <w:p>
      <w:pPr>
        <w:pStyle w:val="Style15"/>
        <w:keepNext/>
        <w:keepLines/>
        <w:widowControl w:val="0"/>
        <w:shd w:val="clear" w:color="auto" w:fill="auto"/>
        <w:bidi w:val="0"/>
        <w:spacing w:before="0" w:after="240" w:line="240" w:lineRule="auto"/>
        <w:ind w:left="0" w:right="0"/>
        <w:jc w:val="left"/>
        <w:rPr>
          <w:sz w:val="28"/>
          <w:szCs w:val="28"/>
        </w:rPr>
      </w:pPr>
      <w:bookmarkStart w:id="2" w:name="bookmark2"/>
      <w:r>
        <w:rPr>
          <w:color w:val="000000"/>
          <w:spacing w:val="0"/>
          <w:w w:val="100"/>
          <w:position w:val="0"/>
          <w:sz w:val="34"/>
          <w:szCs w:val="34"/>
          <w:shd w:val="clear" w:color="auto" w:fill="auto"/>
          <w:lang w:val="ru-RU" w:eastAsia="ru-RU" w:bidi="ru-RU"/>
        </w:rPr>
        <w:t>||||||||||||||||||||||||||||</w:t>
      </w:r>
      <w:bookmarkEnd w:id="2"/>
      <w:r>
        <w:rPr>
          <w:color w:val="000000"/>
          <w:spacing w:val="0"/>
          <w:w w:val="100"/>
          <w:position w:val="0"/>
          <w:sz w:val="34"/>
          <w:szCs w:val="34"/>
          <w:shd w:val="clear" w:color="auto" w:fill="auto"/>
          <w:lang w:val="ru-RU" w:eastAsia="ru-RU" w:bidi="ru-RU"/>
        </w:rPr>
        <w:t xml:space="preserve"> </w:t>
      </w:r>
      <w:r>
        <w:rPr>
          <w:rStyle w:val="CharStyle13"/>
        </w:rPr>
        <w:t>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3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По мнению Заявителя, Заказчиком неправомерно выбран способ определения поставщика (подрядчика, исполнителя) путем проведения открытого конкурса в электронной форме.</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Ч.6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Буквальное толкование приведенных норм права позволяет сделать вывод о том, что при выборе способа определения поставщика (подрядчика, исполнителя) 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Ч.1 Распоряжения №471-р в соответствии с Законом о контрактной системе утвержден прилагаемый перечень товаров, работ, услуг, в случае осуществления закупок которых заказчик обязан проводить аукцион в электронной форме (электронный аукцион). (далее — Перечень).</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По мнению Заявителя, Заказчиком неправомерно выбран способ определения исполнителя путем проведения открытого конкурса, поскольку согласно извещению об осуществлению закупки Заказчику надлежало выбрать код ОКПД2: «33.12.18.000 «Услуги по ремонту и техническому обслуживанию небытового холодильного и вентиляционного оборудования», который включен в перечень в соответствии с Распоряжением Правительства РФ от 21.03.2016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Распоряжение № 471-р), что влечет за собой ограничение количества участников закупки.</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соответствии с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пояснил, что объектом закупки является оказание услуг по комплексному техническому обслуживанию инженерных систем и оборудования зданий префектуры ЮАО города Москвы в 2024 г.</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Техническому заданию Исполнитель осуществляет техническое обслуживание и текущий ремонт электроустановок и электрооборудования, техническое обслуживание системы кондиционирования, техническое обслуживание системы видеонаблюдения, техническое обслуживание системы контроля и управления доступом, техническое обслуживание системы охранной сигнализации, техническое обслуживание системы водостока, обслуживание системы диспетчеризации.</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Для данной закупки Заказчиком выбран код ОКПД2 41.20.20.290 «Здания нежилые, не включенные в другие группировки», который, по мнению Заказчика, соответствует предмету закупки и наиболее точно отражает характер требуемых к </w:t>
      </w:r>
      <w:r>
        <w:rPr>
          <w:color w:val="000000"/>
          <w:spacing w:val="0"/>
          <w:w w:val="100"/>
          <w:position w:val="0"/>
          <w:shd w:val="clear" w:color="auto" w:fill="auto"/>
          <w:lang w:val="ru-RU" w:eastAsia="ru-RU" w:bidi="ru-RU"/>
        </w:rPr>
        <w:t>оказанию услуг.</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положениям ч. 1 ст. 2 Федерального закона от 30.12.2009 № 384-ФЗ «Технический регламент о безопасности зданий и сооружений» (далее — Технический регламент) определено:</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коды ОКПД2, на которые ссылается Заявитель в составе жалобы, в полной мере не соотносятся с объектом закупочной процедуры, так как Заказчиком закупается комплекс услуг по техническому обслуживанию, в том числе электрического оборудования и т.д., являющихся, в свою очередь, частью инженерных систем здания.</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Вместе с этим в составе жалобы, Заявителем не представлено документов и сведений, свидетельствующих о нарушении Заказчиком норм законодательства о контрактной системе, в частности не представлены сведения о кодах ОКПД2, которыми, по мнению Заявителя, должен руководствоваться Заказчик при публикации закупочной процедуры по комплексному обслуживанию инженерных систем зданий, за исключением кода ОКПД2 33.12.18.000, которые, как установлено Комиссией Управления, не соотносятся с объектом закупочной процедуры.</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Таким образом, у Комиссии Управления отсутствуют правовые основания считать Заказчика нарушившим положения Закона о контрактной системе при установлении в извещении о проведении закупки кода ОКПД2 41.20.20.290 «Здания нежилые, не включенные в другие группировки».</w:t>
      </w:r>
    </w:p>
    <w:p>
      <w:pPr>
        <w:pStyle w:val="Style12"/>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том, что довод жалобы не нашел своего подтверждения и является необоснованным.</w:t>
      </w:r>
    </w:p>
    <w:p>
      <w:pPr>
        <w:pStyle w:val="Style12"/>
        <w:keepNext w:val="0"/>
        <w:keepLines w:val="0"/>
        <w:widowControl w:val="0"/>
        <w:shd w:val="clear" w:color="auto" w:fill="auto"/>
        <w:bidi w:val="0"/>
        <w:spacing w:before="0" w:after="0" w:line="228" w:lineRule="auto"/>
        <w:ind w:left="0" w:right="0" w:firstLine="700"/>
        <w:jc w:val="both"/>
        <w:sectPr>
          <w:footnotePr>
            <w:pos w:val="pageBottom"/>
            <w:numFmt w:val="decimal"/>
            <w:numRestart w:val="continuous"/>
          </w:footnotePr>
          <w:type w:val="continuous"/>
          <w:pgSz w:w="11900" w:h="16840"/>
          <w:pgMar w:top="482" w:right="538" w:bottom="638"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numPr>
          <w:ilvl w:val="0"/>
          <w:numId w:val="1"/>
        </w:numPr>
        <w:shd w:val="clear" w:color="auto" w:fill="auto"/>
        <w:tabs>
          <w:tab w:pos="10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Чернова Е.В. на действия комиссии Префекты Южного административного округа г. Москвы необоснованной.</w:t>
      </w:r>
    </w:p>
    <w:p>
      <w:pPr>
        <w:pStyle w:val="Style12"/>
        <w:keepNext w:val="0"/>
        <w:keepLines w:val="0"/>
        <w:widowControl w:val="0"/>
        <w:numPr>
          <w:ilvl w:val="0"/>
          <w:numId w:val="1"/>
        </w:numPr>
        <w:shd w:val="clear" w:color="auto" w:fill="auto"/>
        <w:tabs>
          <w:tab w:pos="1021"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3956" w:left="1106" w:header="0" w:footer="3" w:gutter="0"/>
          <w:cols w:space="720"/>
          <w:noEndnote/>
          <w:rtlGutter w:val="0"/>
          <w:docGrid w:linePitch="360"/>
        </w:sectPr>
      </w:pPr>
      <w:r>
        <mc:AlternateContent>
          <mc:Choice Requires="wps">
            <w:drawing>
              <wp:anchor distT="330200" distB="356235" distL="0" distR="0" simplePos="0" relativeHeight="125829380" behindDoc="0" locked="0" layoutInCell="1" allowOverlap="1">
                <wp:simplePos x="0" y="0"/>
                <wp:positionH relativeFrom="page">
                  <wp:posOffset>735965</wp:posOffset>
                </wp:positionH>
                <wp:positionV relativeFrom="paragraph">
                  <wp:posOffset>330200</wp:posOffset>
                </wp:positionV>
                <wp:extent cx="1850390" cy="250190"/>
                <wp:wrapTopAndBottom/>
                <wp:docPr id="10" name="Shape 10"/>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950000000000003pt;margin-top:26.pt;width:145.70000000000002pt;height:19.699999999999999pt;z-index:-125829373;mso-wrap-distance-left:0;mso-wrap-distance-top:2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2" behindDoc="0" locked="0" layoutInCell="1" allowOverlap="1">
            <wp:simplePos x="0" y="0"/>
            <wp:positionH relativeFrom="page">
              <wp:posOffset>3074035</wp:posOffset>
            </wp:positionH>
            <wp:positionV relativeFrom="paragraph">
              <wp:posOffset>367030</wp:posOffset>
            </wp:positionV>
            <wp:extent cx="389890" cy="57277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805815</wp:posOffset>
                </wp:positionV>
                <wp:extent cx="1280160" cy="100330"/>
                <wp:wrapNone/>
                <wp:docPr id="14" name="Shape 1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81.15000000000003pt;margin-top:63.450000000000003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492125</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55000000000001pt;margin-top:38.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3" behindDoc="0" locked="0" layoutInCell="1" allowOverlap="1">
                <wp:simplePos x="0" y="0"/>
                <wp:positionH relativeFrom="page">
                  <wp:posOffset>6039485</wp:posOffset>
                </wp:positionH>
                <wp:positionV relativeFrom="paragraph">
                  <wp:posOffset>330200</wp:posOffset>
                </wp:positionV>
                <wp:extent cx="1182370" cy="250190"/>
                <wp:wrapTopAndBottom/>
                <wp:docPr id="18" name="Shape 18"/>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4" type="#_x0000_t202" style="position:absolute;margin-left:475.55000000000001pt;margin-top:26.pt;width:93.100000000000009pt;height:19.699999999999999pt;z-index:-125829370;mso-wrap-distance-left:0;mso-wrap-distance-top:2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00Е9СРАА6ОО6САО20О424А9502РС296Е8</w:t>
      </w:r>
      <w:r>
        <w:rPr>
          <w:color w:val="272727"/>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4B4B4B"/>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p>
      <w:pPr>
        <w:pStyle w:val="Style1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5" behindDoc="0" locked="0" layoutInCell="1" allowOverlap="1">
            <wp:simplePos x="0" y="0"/>
            <wp:positionH relativeFrom="page">
              <wp:posOffset>3073400</wp:posOffset>
            </wp:positionH>
            <wp:positionV relativeFrom="paragraph">
              <wp:posOffset>25400</wp:posOffset>
            </wp:positionV>
            <wp:extent cx="389890" cy="57277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22" name="Shape 2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8"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63661</w:t>
      </w:r>
      <w:r>
        <w:rPr>
          <w:spacing w:val="0"/>
          <w:w w:val="100"/>
          <w:position w:val="0"/>
          <w:shd w:val="clear" w:color="auto" w:fill="auto"/>
          <w:lang w:val="ru-RU" w:eastAsia="ru-RU" w:bidi="ru-RU"/>
        </w:rPr>
        <w:t>83222Е5ОСЕ2САЗЕ6О732820С91С</w:t>
      </w:r>
    </w:p>
    <w:p>
      <w:pPr>
        <w:pStyle w:val="Style23"/>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B4B4B"/>
          <w:spacing w:val="0"/>
          <w:w w:val="100"/>
          <w:position w:val="0"/>
          <w:shd w:val="clear" w:color="auto" w:fill="auto"/>
          <w:lang w:val="ru-RU" w:eastAsia="ru-RU" w:bidi="ru-RU"/>
        </w:rPr>
        <w:t xml:space="preserve">23.01.2023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17.04.2024</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6" behindDoc="0" locked="0" layoutInCell="1" allowOverlap="1">
            <wp:simplePos x="0" y="0"/>
            <wp:positionH relativeFrom="page">
              <wp:posOffset>3107055</wp:posOffset>
            </wp:positionH>
            <wp:positionV relativeFrom="paragraph">
              <wp:posOffset>63500</wp:posOffset>
            </wp:positionV>
            <wp:extent cx="353695" cy="53657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3570605</wp:posOffset>
                </wp:positionH>
                <wp:positionV relativeFrom="paragraph">
                  <wp:posOffset>466090</wp:posOffset>
                </wp:positionV>
                <wp:extent cx="1280160" cy="103505"/>
                <wp:wrapNone/>
                <wp:docPr id="28" name="Shape 28"/>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1.15000000000003pt;margin-top:36.700000000000003pt;width:100.8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3524885</wp:posOffset>
                </wp:positionH>
                <wp:positionV relativeFrom="paragraph">
                  <wp:posOffset>154940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55000000000001pt;margin-top:12.200000000000001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272727"/>
          <w:spacing w:val="0"/>
          <w:w w:val="100"/>
          <w:position w:val="0"/>
          <w:sz w:val="12"/>
          <w:szCs w:val="12"/>
          <w:shd w:val="clear" w:color="auto" w:fill="auto"/>
          <w:lang w:val="ru-RU" w:eastAsia="ru-RU" w:bidi="ru-RU"/>
        </w:rPr>
        <w:t xml:space="preserve">Кому </w:t>
      </w:r>
      <w:r>
        <w:rPr>
          <w:color w:val="4B4B4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6281 Е5АЕВ0О2ЭВЕ2АООСЕ65248493Е7С</w:t>
      </w:r>
    </w:p>
    <w:p>
      <w:pPr>
        <w:pStyle w:val="Style23"/>
        <w:keepNext w:val="0"/>
        <w:keepLines w:val="0"/>
        <w:widowControl w:val="0"/>
        <w:shd w:val="clear" w:color="auto" w:fill="auto"/>
        <w:bidi w:val="0"/>
        <w:spacing w:before="0" w:after="2080" w:line="240" w:lineRule="auto"/>
        <w:ind w:right="0" w:firstLine="0"/>
        <w:jc w:val="left"/>
      </w:pPr>
      <w:r>
        <w:rPr>
          <w:spacing w:val="0"/>
          <w:w w:val="100"/>
          <w:position w:val="0"/>
          <w:shd w:val="clear" w:color="auto" w:fill="auto"/>
          <w:lang w:val="ru-RU" w:eastAsia="ru-RU" w:bidi="ru-RU"/>
        </w:rPr>
        <w:t xml:space="preserve">Действителен </w:t>
      </w:r>
      <w:r>
        <w:rPr>
          <w:color w:val="4B4B4B"/>
          <w:spacing w:val="0"/>
          <w:w w:val="100"/>
          <w:position w:val="0"/>
          <w:shd w:val="clear" w:color="auto" w:fill="auto"/>
          <w:lang w:val="ru-RU" w:eastAsia="ru-RU" w:bidi="ru-RU"/>
        </w:rPr>
        <w:t xml:space="preserve">с 13.04.2023 </w:t>
      </w:r>
      <w:r>
        <w:rPr>
          <w:spacing w:val="0"/>
          <w:w w:val="100"/>
          <w:position w:val="0"/>
          <w:shd w:val="clear" w:color="auto" w:fill="auto"/>
          <w:lang w:val="ru-RU" w:eastAsia="ru-RU" w:bidi="ru-RU"/>
        </w:rPr>
        <w:t>по 06.07.2024</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10092690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2023-61265</w:t>
                          </w:r>
                        </w:p>
                      </w:txbxContent>
                    </wps:txbx>
                    <wps:bodyPr wrap="none" lIns="0" tIns="0" rIns="0" bIns="0">
                      <a:spAutoFit/>
                    </wps:bodyPr>
                  </wps:wsp>
                </a:graphicData>
              </a:graphic>
            </wp:anchor>
          </w:drawing>
        </mc:Choice>
        <mc:Fallback>
          <w:pict>
            <v:shape id="_x0000_s1030" type="#_x0000_t202" style="position:absolute;margin-left:57.25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2023-61265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9455" cy="100330"/>
              <wp:wrapNone/>
              <wp:docPr id="6" name="Shape 6"/>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2023-61265</w:t>
                          </w:r>
                        </w:p>
                      </w:txbxContent>
                    </wps:txbx>
                    <wps:bodyPr wrap="none" lIns="0" tIns="0" rIns="0" bIns="0">
                      <a:spAutoFit/>
                    </wps:bodyPr>
                  </wps:wsp>
                </a:graphicData>
              </a:graphic>
            </wp:anchor>
          </w:drawing>
        </mc:Choice>
        <mc:Fallback>
          <w:pict>
            <v:shape id="_x0000_s1032" type="#_x0000_t202" style="position:absolute;margin-left:57.pt;margin-top:804.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2023-61265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436880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34.3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76767"/>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 w:type="paragraph" w:customStyle="1" w:styleId="Style30">
    <w:name w:val="Основной текст (4)"/>
    <w:basedOn w:val="Normal"/>
    <w:link w:val="CharStyle3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