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1о77@Га8.еоу.т</w:t>
      </w:r>
    </w:p>
    <w:p>
      <w:pPr>
        <w:pStyle w:val="Style9"/>
        <w:keepNext/>
        <w:keepLines/>
        <w:widowControl w:val="0"/>
        <w:shd w:val="clear" w:color="auto" w:fill="auto"/>
        <w:tabs>
          <w:tab w:pos="1810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9.12.2023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54068/23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НИЦ «Курчатовский институт»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окр@пгскЁги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«ИНЖЕНЕР»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698" w:bottom="621" w:left="1298" w:header="0" w:footer="3" w:gutter="0"/>
          <w:pgNumType w:start="1"/>
          <w:cols w:num="2" w:space="1299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ека!@дрье.ги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0" w:after="8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0" w:bottom="65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077/06/106-17479/2023 о нарушении</w:t>
        <w:br/>
        <w:t>законодательства о контрактной системе</w:t>
        <w:br/>
        <w:t>14.12.2023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А.И. Рахматуллаева,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НИЦ «Курчатовский институт»: Ю.В. Зиньковской (доверенность от 14.06.2023 № б/н),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«ИНЖЕНЕР»: Ю.Г. Рюминой (доверенность от 26.01.2023 № 10),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«ИНЖЕНЕР» (далее — Заявитель) на действия НИЦ «Курчатовский институт» (далее — Заказчик) при проведении открытого конкурса в электронной форме на право заключения государственного контракта на оказание услуг по проведению обследований зданий, где расположены объекты использования атомной энергии (Закупка № 0373100001023000643) (далее - конкурс),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конкурса.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06.12.2023 №ИЭОК1 заявка Заявителя (идентификационный номер заявки 249) отклонена на следующем основании: «(п.2 ч.12 ст. 48) - непредставление информации и документов, предусмотренных п. 2 и 3 ч.6 ст. 43 Закона 44-ФЗ, несоответствие таких информации и документов (Заявка подлежит отклонению на основании п. 2 ч.12 ст. 48 Федерального закона 44-ФЗ в связи с непредставлением участником закупки в составе заявки документов, предусмотренных п. 3 ч. 6 ст. 43 Федерального закона № 44-ФЗ и п. «н» части 1 «Требований к содержанию, составу заявки на участие в закупке, инструкции по ее заполнению», а именно: не представлена копия действующей лицензии выданной Федеральной службой по экологическому, технологическому и атомному надзору, на право эксплуатации ядерных установок (сооружений и комплексов с исследовательскими ядерными реакторами, критических ядерных стендов), пунктов хранения ядерных материалов и хранилищ радиоактивных отходов (сооружения, предназначенные для хранения ядерных материалов и радиоактивных отходов), условиями действия которой предусмотрено право работ по проведению обследований зданий и сооружений, а также состояния грунтов их оснований)».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 12 ч. 1 ст.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требования, предъявляемые к участникам закупки в соответствии с п. 1 ч. 1 ст. 31 Закона о контрактной системе, требования, предъявляемые к участникам закупки в соответствии с чч. 2 и 2.1 (при наличии таких требований) ст. 31 Закона о контрактной системе,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ч. 1.1 ст. 31 Закона о контрактной системе (при наличии такого требования).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п.1 ч.1 ст.31 Закона о контрактной системе при применении конкурентных способов, при осуществлении закупки у единственного поставщика (подрядчика, исполнителя) в случаях, предусмотренных пунктами 4, 5, 18, 30, 42, 49, 54 и 59 части 1 статьи 93 Закона о контрактной системе, заказчик устанавливает единое требование к участникам закупки о соответствии требованиям, установленным в соответствии с законодательством Российской Федерации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Приложению № 4 к извещению «Требования к содержанию, составу заявки на участие в закупке, инструкция по ее заполнению» к участникам закупки установлено следующее требование: «н) документы, подтверждающие соответствие участника закупки требованиям, установленным пунктом 1 части 1 статьи 31 Федерального закона № 44-ФЗ - установлено: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копия действующей лицензии выданной Федеральной службой по экологическому, технологическому и атомному надзору, на право эксплуатации ядерных установок (сооружений и комплексов с исследовательскими ядерными реакторами, критических ядерных стендов), пунктов хранения ядерных материалов и хранилищ радиоактивных отходов (сооружения, предназначенные для хранения ядерных материалов и радиоактивных отходов), условиями действия которой предусмотрено право работ по проведению обследований зданий и сооружений, а также состояния грунтов их оснований».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пп. «н» п.1 ч. 1 ст. 43 Закона о контрактной системе для участия в конкурентном способе заявка на участие в закупке должна содержать информацию и документы об участнике закупки, в том числе документы, подтверждающие соответствие участника закупки требованиям, установленным п.1 ч.1 ст.31 Закона о контрактной системе, документы, подтверждающие соответствие участника закупки дополнительным требованиям, установленным в соответствии с ч.2 и ч.2.1 (при наличии таких требований) ст.31 Закона о контрактной системе, если иное не предусмотрено Законом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Заявителя представлены следующие копии лицензий Федеральной службы по экологическому, технологическому и атомному надзору: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Лицензия от 24.06.2022 № ГН-10-210-4251 на право проектирования и конструирования радиационных источников, пунктов хранения радиоактивных веществ, пунктов хранения, хранилищ радиоактивных отходов,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Лицензия от 12.10.2022 № УО-10-101-3281 на право проектирования и конструирования ядерных установок и радиационных источников,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Лицензия от 20.01.2021 № ГН-(У)-02-304-3981 на право сооружения пунктов хранения радиоактивных отходов,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Лицензия от 20.01.2021 № ГН-(У)- 03-304-3982 на право на эксплуатацию пунктов хранения радиоактивных отходов.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462" w:right="539" w:bottom="659" w:left="1103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пояснил, что заявка Заявителя подлежала отклонению, поскольку в составе такой заявки представлены копии лицензий, которые не содержат разрешения на право, эксплуатации ядерных установок (сооружений и комплексов с исследовательскими ядерными реакторами, критических ядерных стендов), пунктов хранения ядерных материалов, что не соответствует требованиям извещения об осуществлении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отмечает, что заявка Заявителя не соответствует требованиям извещения об осуществлении закупки и Закону о контрактной системе, поскольку таким участником закупки не представлена копия действующей лицензии на право эксплуатации ядерных установок (сооружений и комплексов с исследовательскими ядерными реакторами, критических ядерных стендов), условиями действия которой предусмотрено право работ по проведению обследований зданий и сооружений, а также состояния грунтов их оснований, что противоречит установленным Заказчиком требованиям.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у Комиссии Управления отсутствуют правовые основания для признания комиссии Заказчика нарушившей требования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ситсеме;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5" w:val="left"/>
        </w:tabs>
        <w:bidi w:val="0"/>
        <w:spacing w:before="0" w:after="0" w:line="276" w:lineRule="auto"/>
        <w:ind w:left="0" w:right="0" w:firstLine="740"/>
        <w:jc w:val="both"/>
        <w:rPr>
          <w:sz w:val="20"/>
          <w:szCs w:val="20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687" w:left="1106" w:header="0" w:footer="25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2023-61113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6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 3 или п. 4 ч. 1 ст. 43 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выводу, что у комиссии Заказчика имелись основания для признания заявки Заявителя несоответствующей, и что решение комиссии Заказчика о признании заявки ООО «ИНЖЕНЕР» несоответствующей является правомерным.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 Е Ш И Л А: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«ИНЖЕНЕР» на действия комиссии НИЦ «Курчатовский институт» необоснованной.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6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.Снять ограничения, наложенные на определение поставщика (подрядчика, исполнителя) Московским УФАС России.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 (Арбитражном суде г. Москвы) в порядке, установленном гл. 24 АПК РФ, в течение 3(трех) месяцев с даты его принятия.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27" w:bottom="144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8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57.950000000000003pt;margin-top:10.pt;width:145.70000000000002pt;height:19.900000000000002pt;z-index:-125829375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0" behindDoc="0" locked="0" layoutInCell="1" allowOverlap="1">
            <wp:simplePos x="0" y="0"/>
            <wp:positionH relativeFrom="page">
              <wp:posOffset>3074035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6" name="Shap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box 17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3570605</wp:posOffset>
                </wp:positionH>
                <wp:positionV relativeFrom="paragraph">
                  <wp:posOffset>602615</wp:posOffset>
                </wp:positionV>
                <wp:extent cx="1280160" cy="103505"/>
                <wp:wrapNone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b/>
                                <w:bCs/>
                                <w:color w:val="E9E9E9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b/>
                                <w:bCs/>
                                <w:color w:val="FFFFFF"/>
                                <w:spacing w:val="0"/>
                                <w:w w:val="100"/>
                                <w:position w:val="0"/>
                                <w:sz w:val="11"/>
                                <w:szCs w:val="11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81.15000000000003pt;margin-top:47.450000000000003pt;width:100.8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b/>
                          <w:bCs/>
                          <w:color w:val="E9E9E9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b/>
                          <w:bCs/>
                          <w:color w:val="FFFFFF"/>
                          <w:spacing w:val="0"/>
                          <w:w w:val="100"/>
                          <w:position w:val="0"/>
                          <w:sz w:val="11"/>
                          <w:szCs w:val="11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55000000000001pt;margin-top:2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127000</wp:posOffset>
                </wp:positionV>
                <wp:extent cx="1029970" cy="25273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487.05000000000001pt;margin-top:10.pt;width:81.100000000000009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00СА17306423В8С790А31806189СОЕ338Г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18.04.2024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5" w:line="240" w:lineRule="auto"/>
        <w:ind w:left="0" w:right="0" w:firstLine="660"/>
        <w:jc w:val="lef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3695" cy="40259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12.200000000000001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А.И. Рахматуллаев</w:t>
      </w:r>
    </w:p>
    <w:p>
      <w:pPr>
        <w:pStyle w:val="Style30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Рахматуллаев Алексей Ильич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11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ВЗВО45854ОЕВ6С993Е00602С0ЕВЕЕС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07.09.2023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30.11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.2024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43307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4330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5pt;margin-top:12.1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3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0092302А1Е2Е82694604ЕЕЕ772202557ЕЕ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393939"/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3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7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310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6.1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0739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739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2023-61113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5pt;width:55.700000000000003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2023-61113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3105" cy="10033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2023-61113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7.200000000000003pt;margin-top:794.70000000000005pt;width:56.14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2023-61113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424180</wp:posOffset>
              </wp:positionV>
              <wp:extent cx="57785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44999999999999pt;margin-top:33.399999999999999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424180</wp:posOffset>
              </wp:positionV>
              <wp:extent cx="57785" cy="103505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44999999999999pt;margin-top:33.399999999999999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2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5">
    <w:name w:val="Основной текст (2)_"/>
    <w:basedOn w:val="DefaultParagraphFont"/>
    <w:link w:val="Style24"/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character" w:customStyle="1" w:styleId="CharStyle31">
    <w:name w:val="Основной текст (4)_"/>
    <w:basedOn w:val="DefaultParagraphFont"/>
    <w:link w:val="Style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9E9E9"/>
      <w:sz w:val="11"/>
      <w:szCs w:val="11"/>
      <w:u w:val="none"/>
    </w:rPr>
  </w:style>
  <w:style w:type="character" w:customStyle="1" w:styleId="CharStyle35">
    <w:name w:val="Основной текст (5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2"/>
    <w:basedOn w:val="Normal"/>
    <w:link w:val="CharStyle10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4">
    <w:name w:val="Основной текст (2)"/>
    <w:basedOn w:val="Normal"/>
    <w:link w:val="CharStyle25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06060"/>
      <w:sz w:val="12"/>
      <w:szCs w:val="12"/>
      <w:u w:val="none"/>
    </w:rPr>
  </w:style>
  <w:style w:type="paragraph" w:customStyle="1" w:styleId="Style30">
    <w:name w:val="Основной текст (4)"/>
    <w:basedOn w:val="Normal"/>
    <w:link w:val="CharStyle31"/>
    <w:pPr>
      <w:widowControl w:val="0"/>
      <w:shd w:val="clear" w:color="auto" w:fill="auto"/>
      <w:spacing w:after="80"/>
      <w:ind w:left="452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E9E9E9"/>
      <w:sz w:val="11"/>
      <w:szCs w:val="11"/>
      <w:u w:val="none"/>
    </w:rPr>
  </w:style>
  <w:style w:type="paragraph" w:customStyle="1" w:styleId="Style34">
    <w:name w:val="Основной текст (5)"/>
    <w:basedOn w:val="Normal"/>
    <w:link w:val="CharStyle35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