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1о77@1</w:t>
      </w:r>
      <w:r>
        <w:rPr>
          <w:spacing w:val="0"/>
          <w:w w:val="100"/>
          <w:position w:val="0"/>
          <w:u w:val="single"/>
          <w:shd w:val="clear" w:color="auto" w:fill="auto"/>
          <w:vertAlign w:val="superscript"/>
          <w:lang w:val="ru-RU" w:eastAsia="ru-RU" w:bidi="ru-RU"/>
        </w:rPr>
        <w:t>?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10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9.12.2023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54080/23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«Торговый Дом Нева» тГо@йгтед.ги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«ДГП № 131 ДЗМ»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с1др131@/с1гау.тоуп1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2120" w:bottom="621" w:left="1298" w:header="0" w:footer="3" w:gutter="0"/>
          <w:pgNumType w:start="1"/>
          <w:cols w:num="2" w:space="720" w:equalWidth="0">
            <w:col w:w="3806" w:space="1301"/>
            <w:col w:w="3374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9" w:after="8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2" w:right="0" w:bottom="65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9149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077/06/106-17930/2023 о нарушении</w:t>
        <w:br/>
        <w:t>законодательства о контрактной системе</w:t>
        <w:br/>
        <w:t>14.12.2023</w:t>
        <w:tab/>
        <w:t>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заместителя начальника отдела обжалования государственных закупок Д.С. Грешневой,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разряда отдела обжалования государственных закупок М.О. Мацневой,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 при участии представителя: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«ДГП № 131 ДЗМ»: Сергеевой Т.А. (по доверенности № б/н от 12.12.2023),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«Торговый Дом Нева», уведомленных надлежащим образом посредством функционала Единой информационной системы,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«Торговый Дом Нева» (далее — Заявитель) на действия ГБУЗ «ДГП № 131 ДЗМ» (далее — Заказчик) при проведении электронного аукциона на право заключения контракта на поставку медицинского оборудования для ГБУЗ "ДГП № 131 ДЗМ" (Закупка №0373200104823000197)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аукциона.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Комиссией Управления рассмотрены документы и сведения, запрашиваемые посредством Единой информационной системы,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содержать, в том числе, описание объекта закупки в соответствии со ст.33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в случаях, предусмотренных Законом о контрактной системе, при описании объекта закупки должен руководствоваться следующими правилами: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согласно Техническому заданию Заказчиком установлены требования к закупаемому медицинскому оборудованию: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 1 «Набор диагностический с принадлежностями»: Рукоять полностью совместима с зарядным устройством КаШе для аккумуляторных рукояток КаШе типа «2,5В» и «3,5В» с аккумуляторами №МН и ^^-1оп, что подтверждается документацией производителя;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 2 «Зарядное устройство для зарядки Iа-1оп, №МЪ, №Сд. аккумуляторов тип С и АА»: Зарядное устройство предназначено для аккумуляторных рукояток КаШе типа «2,5В» и «3,5В» с аккумуляторами №МН и ^^-1оп; Использование возможно только с оригинальными аккумуляторами производителя Ка\е.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жалобы, установленным вышеуказанным требованиям к закупаемому медицинскому оборудованию, соответствуют оборудование единственного производителя «К1В.СНКЕВ. &amp; ШП.11ЕКМ ОтЪН + Со. КО (КаШе)», Германия, поскольку учитывая позицию производителя данного оборудования, иные производители с оборудованием «КТК.СНКЕВ. &amp; Ш1КНЕКМ ОтЪН + Со. КО (КаШе)» Германия не совместимы, на основании официального письма «КГКСНКЕК &amp; ШП.НЕКМ ОтЪН + Со. КО (КаШе)» о несовместимости с другими производителями.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письме производитель КаШе предупреждает, что не гарантирует безопасную эксплуатацию при совместимости продукции КаШе (рукоятей и клинков ларингоскопов, аккумуляторов и зарядного устройства) с аналогичной продукцией других производителей, а также не обладает информацией, так как экспертиза на совместимость ими не производилась, и гарантия в таком случае не предоставляется на КаШе».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2" w:right="539" w:bottom="659" w:left="110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заседание Комиссией Управления представитель Заказчика пояснил, что при описании объекта закупочной процедуры Заказчиком установлены требования к закупаемому оборудованию совместимого с оборудованием уже имеющегося у Заказчика, а именно: «КЖСНЯЕК &amp; \.\'ИЛЕ1.\1 ОтЪН + Со. КО (КаШе)», Германия. Оборудование КаШе является единственным в полной мере отвечающим потребности Заказчика.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ст.33 Закона о контрактной системе напрямую запрещено закупать товары конкретного производителя за исключением случаев указанных в пп. «б» - «г» п.1 ч.1 ст.33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из описания объекта закупочной процедуры следует, что Заказчиком закупается набор диагностический рукоять которого полностью совместима с зарядным устройством КаШе, а также само зарядное устройство КаШе, иными словами, объектом закупки не являются расходные материалы к машинам и оборудованию, используемым заказчиком, в соответствии с технической документацией на указанные машины и оборудование, а закупается само оборудование с зарядным устройством конкретного производителя, что напрямую запрещено нормами ст.33 Закона о контрактной системе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Доказательств обратного Заказчиком не представлено.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также отмечает, что при проведении закупок заказчики описывают объекты закупок, руководствуясь положениями Закона о контрактной системе, при условии, что такие требования не влекут за собой ограничение количества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представителем Заказчика не представлено сведений, указывающих на возможность поставки товара, соответствующего совокупности требований, указанных в описании объекта закупки, например: регистрационных удостоверений, инструкций, паспорта на товар, писем производителя товара, указывающих на обладание товара необходимыми характеристиками, ввиду чего Комиссии Управления не представляется прийти к выводу, что имеются товары, соответствующие совокупности требований извещения помимо указанного в жалобе.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обязанность по формированию описание объекта закупки в соответствии с положениями ст.33 Закона о контрактной системе возложена на Заказчика, ввиду чего именно Заказчик при формировании извещения об осуществлении закупочной процедуры должен обладать документальным подтверждением соответствие описания объекта закупки требованиям действующего законодательства, в данном случае, что Заказчиком закупается товар конкретного производителя.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 о признании данного довода жалобы обоснованным и о нарушении Заказчиком п.1 ч.1 ст.33 Закона о контрактной системе, что содержит признаки состава административного правонарушения, ответственность за которое предусмотрена частью 1.4 статьи 7.30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10" w:lineRule="auto"/>
        <w:ind w:left="0" w:right="0" w:firstLine="640"/>
        <w:jc w:val="left"/>
        <w:rPr>
          <w:sz w:val="20"/>
          <w:szCs w:val="20"/>
        </w:rPr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658" w:left="1106" w:header="0" w:footer="230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Исследовав представленные материалы, руководствуясь Законом о контрактной системе, Комиссия Управления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2023-61602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96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жалобу ООО «Торговый Дом Нева» на действия ГБУЗ «ДГП № 131 ДЗМ» обоснованной.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9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в действиях Заказчика нарушения п.1 ч.1 ст.33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5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4" w:val="left"/>
        </w:tabs>
        <w:bidi w:val="0"/>
        <w:spacing w:before="0" w:after="28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3323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219075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330200</wp:posOffset>
                </wp:positionV>
                <wp:extent cx="1825625" cy="25019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57.950000000000003pt;margin-top:26.pt;width:143.75pt;height:19.699999999999999pt;z-index:-125829375;mso-wrap-distance-left:0;mso-wrap-distance-top:26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3225" distB="0" distL="0" distR="1786255" simplePos="0" relativeHeight="125829380" behindDoc="0" locked="0" layoutInCell="1" allowOverlap="1">
            <wp:simplePos x="0" y="0"/>
            <wp:positionH relativeFrom="page">
              <wp:posOffset>2952115</wp:posOffset>
            </wp:positionH>
            <wp:positionV relativeFrom="paragraph">
              <wp:posOffset>403225</wp:posOffset>
            </wp:positionV>
            <wp:extent cx="347345" cy="396240"/>
            <wp:wrapTopAndBottom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3363595</wp:posOffset>
                </wp:positionH>
                <wp:positionV relativeFrom="paragraph">
                  <wp:posOffset>491490</wp:posOffset>
                </wp:positionV>
                <wp:extent cx="1722120" cy="255905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64.85000000000002pt;margin-top:38.700000000000003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219075" distL="0" distR="0" simplePos="0" relativeHeight="125829381" behindDoc="0" locked="0" layoutInCell="1" allowOverlap="1">
                <wp:simplePos x="0" y="0"/>
                <wp:positionH relativeFrom="page">
                  <wp:posOffset>6061075</wp:posOffset>
                </wp:positionH>
                <wp:positionV relativeFrom="paragraph">
                  <wp:posOffset>330200</wp:posOffset>
                </wp:positionV>
                <wp:extent cx="1124585" cy="25019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458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77.25pt;margin-top:26.pt;width:88.549999999999997pt;height:19.699999999999999pt;z-index:-125829372;mso-wrap-distance-left:0;mso-wrap-distance-top:26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2727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57575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067961РР87Р758АЕ5АСО096СЕ0АР9125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57575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7575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16.03.2023 </w:t>
      </w:r>
      <w:r>
        <w:rPr>
          <w:color w:val="72727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75757"/>
          <w:spacing w:val="0"/>
          <w:w w:val="100"/>
          <w:position w:val="0"/>
          <w:shd w:val="clear" w:color="auto" w:fill="auto"/>
          <w:lang w:val="ru-RU" w:eastAsia="ru-RU" w:bidi="ru-RU"/>
        </w:rPr>
        <w:t>08.06.2024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8" w:right="527" w:bottom="3323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90500" distB="356870" distL="0" distR="0" simplePos="0" relativeHeight="125829383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190500</wp:posOffset>
                </wp:positionV>
                <wp:extent cx="1341120" cy="25273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57.950000000000003pt;margin-top:15.pt;width:105.60000000000001pt;height:19.900000000000002pt;z-index:-125829370;mso-wrap-distance-left:0;mso-wrap-distance-top:15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63525" distB="0" distL="0" distR="1786255" simplePos="0" relativeHeight="125829385" behindDoc="0" locked="0" layoutInCell="1" allowOverlap="1">
            <wp:simplePos x="0" y="0"/>
            <wp:positionH relativeFrom="page">
              <wp:posOffset>2948940</wp:posOffset>
            </wp:positionH>
            <wp:positionV relativeFrom="paragraph">
              <wp:posOffset>263525</wp:posOffset>
            </wp:positionV>
            <wp:extent cx="353695" cy="536575"/>
            <wp:wrapTopAndBottom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3406140</wp:posOffset>
                </wp:positionH>
                <wp:positionV relativeFrom="paragraph">
                  <wp:posOffset>666115</wp:posOffset>
                </wp:positionV>
                <wp:extent cx="1280160" cy="10033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68.19999999999999pt;margin-top:52.450000000000003pt;width:100.8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3363595</wp:posOffset>
                </wp:positionH>
                <wp:positionV relativeFrom="paragraph">
                  <wp:posOffset>354965</wp:posOffset>
                </wp:positionV>
                <wp:extent cx="1722120" cy="255905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64.85000000000002pt;margin-top:27.949999999999999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356870" distL="0" distR="0" simplePos="0" relativeHeight="125829386" behindDoc="0" locked="0" layoutInCell="1" allowOverlap="1">
                <wp:simplePos x="0" y="0"/>
                <wp:positionH relativeFrom="page">
                  <wp:posOffset>6280150</wp:posOffset>
                </wp:positionH>
                <wp:positionV relativeFrom="paragraph">
                  <wp:posOffset>190500</wp:posOffset>
                </wp:positionV>
                <wp:extent cx="887095" cy="252730"/>
                <wp:wrapTopAndBottom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709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494.5pt;margin-top:15.pt;width:69.850000000000009pt;height:19.900000000000002pt;z-index:-125829367;mso-wrap-distance-left:0;mso-wrap-distance-top:15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2727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0ОСС5А1А1С303О775Е8423Р1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1867182162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72727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24.01.2023 по </w:t>
      </w:r>
      <w:r>
        <w:rPr>
          <w:color w:val="575757"/>
          <w:spacing w:val="0"/>
          <w:w w:val="100"/>
          <w:position w:val="0"/>
          <w:shd w:val="clear" w:color="auto" w:fill="auto"/>
          <w:lang w:val="ru-RU" w:eastAsia="ru-RU" w:bidi="ru-RU"/>
        </w:rPr>
        <w:t>18.04.2024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2948940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32" name="Shape 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box 33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3406140</wp:posOffset>
                </wp:positionH>
                <wp:positionV relativeFrom="paragraph">
                  <wp:posOffset>466090</wp:posOffset>
                </wp:positionV>
                <wp:extent cx="1280160" cy="103505"/>
                <wp:wrapNone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68.19999999999999pt;margin-top:36.700000000000003pt;width:100.8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3363595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264.85000000000002pt;margin-top:12.200000000000001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8B8B8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72727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008926921 ЕВ71Е0631А2ЕР19РВВ8Р80В4Е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2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72727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28.03.2023 </w:t>
      </w:r>
      <w:r>
        <w:rPr>
          <w:color w:val="8B8B8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20.06.2024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19455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2023-61602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00000000000003pt;margin-top:794.70000000000005pt;width:56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2023-61602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2023-61602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5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2023-61602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19455" cy="10033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2023-61602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57.200000000000003pt;margin-top:794.70000000000005pt;width:56.649999999999999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2023-61602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424180</wp:posOffset>
              </wp:positionV>
              <wp:extent cx="57785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44999999999999pt;margin-top:33.399999999999999pt;width:4.5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69850" cy="10350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9.pt;margin-top:37.5pt;width:5.5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424180</wp:posOffset>
              </wp:positionV>
              <wp:extent cx="57785" cy="10350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09.44999999999999pt;margin-top:33.399999999999999pt;width:4.5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D"/>
      <w:sz w:val="18"/>
      <w:szCs w:val="18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character" w:customStyle="1" w:styleId="CharStyle24">
    <w:name w:val="Основной текст (5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 w:line="257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D"/>
      <w:sz w:val="18"/>
      <w:szCs w:val="18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paragraph" w:customStyle="1" w:styleId="Style23">
    <w:name w:val="Основной текст (5)"/>
    <w:basedOn w:val="Normal"/>
    <w:link w:val="CharStyle24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5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image" Target="media/image2.jpeg"/><Relationship Id="rId16" Type="http://schemas.openxmlformats.org/officeDocument/2006/relationships/image" Target="media/image2.jpeg" TargetMode="Externa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/Relationships>
</file>