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2697" w:bottom="621" w:left="1601" w:header="0" w:footer="3" w:gutter="0"/>
          <w:pgNumType w:start="1"/>
          <w:cols w:num="2" w:space="720" w:equalWidth="0">
            <w:col w:w="3221" w:space="1584"/>
            <w:col w:w="279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«ИКБ № 1 ДЗМ»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1595755</wp:posOffset>
                </wp:positionH>
                <wp:positionV relativeFrom="paragraph">
                  <wp:posOffset>63500</wp:posOffset>
                </wp:positionV>
                <wp:extent cx="895985" cy="15240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5.65000000000001pt;margin-top:5.pt;width:70.549999999999997pt;height:12.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2700" distR="12700" simplePos="0" relativeHeight="125829380" behindDoc="0" locked="0" layoutInCell="1" allowOverlap="1">
                <wp:simplePos x="0" y="0"/>
                <wp:positionH relativeFrom="page">
                  <wp:posOffset>1684020</wp:posOffset>
                </wp:positionH>
                <wp:positionV relativeFrom="paragraph">
                  <wp:posOffset>355600</wp:posOffset>
                </wp:positionV>
                <wp:extent cx="722630" cy="15240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32.59999999999999pt;margin-top:28.pt;width:56.899999999999999pt;height:12.pt;z-index:-125829373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^кЪ1@x^^аV.то8.^и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21" w:left="392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Шевцов Е.П.</w:t>
      </w:r>
    </w:p>
    <w:p>
      <w:pPr>
        <w:pStyle w:val="Style2"/>
        <w:keepNext w:val="0"/>
        <w:keepLines w:val="0"/>
        <w:framePr w:w="2453" w:h="461" w:wrap="none" w:vAnchor="text" w:hAnchor="page" w:x="198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</w:r>
    </w:p>
    <w:p>
      <w:pPr>
        <w:pStyle w:val="Style2"/>
        <w:keepNext w:val="0"/>
        <w:keepLines w:val="0"/>
        <w:framePr w:w="3806" w:h="917" w:wrap="none" w:vAnchor="text" w:hAnchor="page" w:x="1299" w:y="419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1"/>
        <w:keepNext/>
        <w:keepLines/>
        <w:framePr w:w="3806" w:h="917" w:wrap="none" w:vAnchor="text" w:hAnchor="page" w:x="1299" w:y="419"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54129/23</w:t>
      </w:r>
      <w:bookmarkEnd w:id="0"/>
    </w:p>
    <w:p>
      <w:pPr>
        <w:pStyle w:val="Style8"/>
        <w:keepNext w:val="0"/>
        <w:keepLines w:val="0"/>
        <w:framePr w:w="2237" w:h="398" w:wrap="none" w:vAnchor="text" w:hAnchor="page" w:x="6411" w:y="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^р8кеVСОV@та^1.^и</w:t>
      </w:r>
    </w:p>
    <w:p>
      <w:pPr>
        <w:pStyle w:val="Style8"/>
        <w:keepNext w:val="0"/>
        <w:keepLines w:val="0"/>
        <w:framePr w:w="1517" w:h="398" w:wrap="none" w:vAnchor="text" w:hAnchor="page" w:x="6406" w:y="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46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311150" cy="15240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pt;margin-top:1.pt;width:24.5pt;height:12.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077/06/106-17465/2023 о нарушении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6393180</wp:posOffset>
                </wp:positionH>
                <wp:positionV relativeFrom="paragraph">
                  <wp:posOffset>38100</wp:posOffset>
                </wp:positionV>
                <wp:extent cx="798830" cy="20129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3.40000000000003pt;margin-top:3.pt;width:62.899999999999999pt;height:15.85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специалиста-эксперта отдела обжалования государственных закупок А.А. Кутейникова,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«ИКБ № 1 ДЗМ»: В.В. Жигалиной (доверенность от 27.09.2022 №36), И.Е. Хабарова (доверенность от 08.12.2023 №104),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Шевцов Е.П.,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Шевцов Е.П. (далее — Заявитель) на действия ГБУЗ «ИКБ № 1 ДЗМ» (далее — Заказчик) при проведении электронного аукциона на право заключения государственного контракта на поставку перчаток смотровых/процедурных нитриловых, неопудренных для нужд ГБУЗ «ИКБ № 1» ДЗМ (Закупка № 0373200016723000920)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08.12.2023 №ИЭА1 заявка Заявителя (номер заявки 5) отклонена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к поставке предложены перчатки медицинские стерильные и нестерильные, опудренные и неопудренные (п. 9 Приложения № 1 к Техническому заданию): Перчатки нитриловые смотровые диагностические нестерильные, Товарный знак отсутствует, страна происхождения Китай. Представлено регистрационное удостоверение ФСЗ 2011/10864 от 26.10.2011 года. Участником в составе заявки задекларировано наличии ромбовидной текстуры по всей поверхности указана на заводской упаковке для однозначной идентификациии.Согласно фотографиям упаковки с официального сайта Росздравнадзор, она не содержит информацию о ромбовидной текстуре на упаковке. Также, Участником к поставке предложены перчатки медицинские стерильные и нестерильные, опудренные и неопудренные (п. 6-8 Приложения № 1 к Техническому заданию ): Перчатки нитриловые смотровые диагностические нестерильные, Товарный знак отсутствует, страна происхождения Китай. Представлено регистрационное удостоверение ФСЗ 2011/10864 от 26.10.2011 года. Вместе с этим из материалов к медицинскому изделию размещенного на официальном сайте Росздравнадзора не следует, что имеется обработка Алое вера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Техническом задании установлены характеристики к необходимым к поставке перчаткам, так, например: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поз.6-8 «Перчатки смотровые/процедурные нитриловые, неопудренные, нестерильные»: «Алое Вера: Наличие»;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поз.9 «Перчатки смотровые/процедурные нитриловые, неопудренные, нестерильные» в разделе «Обоснование дополнительных характеристик» указано: «С выраженной ромбовидной текстурой по всей поверхности для улучшенного сцепления»: «Информация о цвете перчатки и наличии ромбовидной текстуры по всей поверхности должна быть указана в Регистрационном удостоверении и/или на заводской упаковке для однозначной идентификации, а также распределения мед. изделия между персоналом, который по специфике работы использует данный вид перчаток».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Заявителем в составе заявки предложены необходимые к поставке товары, а также указаны следующие характеристики: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поз.6-8 «Перчатки смотровые/процедурные нитриловые, неопудренные, нестерильные»: «Внутренняя поверхность медицинского изделия обработана Алое Вера: Наличие», продекларирована страна происхождения Китайская Народная Республика;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поз.9 «Перчатки смотровые/процедурные нитриловые, неопудренные, нестерильные», а также указано «Товарный знак: отсутствует»: «Страна происхождения: Китайская Народная Республика».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составе заявки по поз.6-9 приложено Регитсрационное удостоверение №ФСЗ 2011/10864 от 26.10.2011 на «Перчатки медицинские стерильные и нестерильные, опудренные и неопудренные», производитель «Жентианг Сухуи Латекс Продактс Ко., Лтд.», Китай.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согласно информации, размещенной на официальном сайте Росздравнадзора, не следует, что на упаковке представленных перчаток по поз.9 имеется информация о наличии ромбовидной текстуры по всей поверхности перчаток, что подтверждается размещенными фотографиями перчаток.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согласно информации, размещенной на официальном сайте Росздравнадзора, а именно Инструкции по эксплуатации на «Перчатки медицинские стерильные и нестерильные опудренные и неопудренные» (далее — Инструкция по эксплуатации), не следует, что по поз.6-8 у предложенных перчаток имеется обработка Алое вера.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комиссии Заказчика, в составе заявки Заявителем предоставлена недостоверная информация о характеристиках предлагаемых к поставке товаров.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 перчаткам по поз.9 приложено Регистрационное удостоверение №ФСЗ 2011/10864 от 26.10.2011, при этом согласно сведениям, размещенным на сайте Росздравнадзора, имеется одна фотография упаковки медицинских перчаток, вместе с тем данная фотография упаковки хирургических перчаток, в то время как Заявителем к поставке предложены перчатки смотровые (диагностические).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отмечает, что в Инструкции, размещенной на официальном сайте Росздравнадзора, не указано на наличие или отсутствие обработки в представленных перчатках Алое вера, что не позволяет однозначным образом сделать вывод об отсутствии такой обработки Алое вера на перчатках.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считает необходимым отметить, что под недостоверными сведениями следует понимать сведения, не соответствующие действительно 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сведениями понимаются утверждения о фактах или событиях, которые не имели места в реальности во время, к которому относятся оспариваемые сведения (п. 7).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как следует из материалов дела, поданная Заявителем заявка в части оспариваемых сведений требованиям извещения об осуществления закупки соответствовала. Каких-либо оснований сомневаться в достоверности представленных в них сведений в контексте ч. 5 ст. 10 Гражданского кодекса Российской Федерации (ГК РФ) (в силу которой добросовестность участников гражданских правоотношений и разумность их действий предполагаются) у Заказчика не имелось, неопровержимыми доказательствами недостоверности таких сведений последний не располагал. Доказательств обратного представителем Заказчика не представлено.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ситсеме;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об отклонении заявки ИП Шевцов Е.П. по основанию, отраженному в протоколе подведения итогов электронного аукциона, является неправомерным и принято в нарушение пп. «а» п.1 ч.5 ст. 49 Закона о контрактной системе, что содержит признаки состава административного правонарушения, ответственность за которое предусмотрена ч. 2 ст. 7.30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6" w:right="534" w:bottom="977" w:left="108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.Признать жалобу ИП Шевцов Е.П. на действия комиссии ГБУЗ «ИКБ № 1 ДЗМ» 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нарушения пп. «а» п.1 ч.5 ст. 49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388" w:right="532" w:bottom="178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10.pt;width:145.70000000000002pt;height:19.699999999999999pt;z-index:-125829367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8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1.15000000000003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5000000000001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9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5.55000000000001pt;margin-top:10.pt;width:93.100000000000009pt;height:19.699999999999999pt;z-index:-125829364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00Е9СРАА6ОО6САО20С424А9502РС296Е8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10000000000002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6366183222Е5ОСЕ2САЗЕ6О732820С91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92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38100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476885</wp:posOffset>
                </wp:positionV>
                <wp:extent cx="1280160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10000000000002pt;margin-top:37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166370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pt;margin-top:13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Е5АЕВ0О2ОВЕ2АЭОСЕ65248493Е7С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13.04.2023 по 06.07.2024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88" w:right="532" w:bottom="138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734060</wp:posOffset>
              </wp:positionH>
              <wp:positionV relativeFrom="page">
                <wp:posOffset>10112375</wp:posOffset>
              </wp:positionV>
              <wp:extent cx="7162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800000000000004pt;margin-top:796.2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3931285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55000000000001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5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