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1о77@Га8.еоу.т</w:t>
      </w:r>
    </w:p>
    <w:p>
      <w:pPr>
        <w:pStyle w:val="Style9"/>
        <w:keepNext/>
        <w:keepLines/>
        <w:widowControl w:val="0"/>
        <w:shd w:val="clear" w:color="auto" w:fill="auto"/>
        <w:tabs>
          <w:tab w:pos="1810" w:val="left"/>
        </w:tabs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9.12.2023</w:t>
        <w:tab/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54126/23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ФГБУЗ «72 ЦП» МЧС России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тГо@до81агт.ги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Кравченко А.В.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тГо@до81агт.ги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1870" w:bottom="621" w:left="1298" w:header="0" w:footer="3" w:gutter="0"/>
          <w:pgNumType w:start="1"/>
          <w:cols w:num="2" w:space="1274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ко@го8екогд.гн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04" w:after="10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94" w:right="0" w:bottom="52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8794" w:val="left"/>
        </w:tabs>
        <w:bidi w:val="0"/>
        <w:spacing w:before="0" w:after="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№077/06/106-17931/2023 о нарушении</w:t>
        <w:br/>
        <w:t>законодательства о контрактной системе</w:t>
        <w:br/>
        <w:t>15.12.2023</w:t>
        <w:tab/>
        <w:t>г. Москва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товаров, работ, услуг (далее - Комиссия Управления)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Председательствующего: заместителя начальника отдела обжалования государственных закупок Д.С. Грешневой,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Е.Д. Мартьяновой,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4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представителей ФГБУЗ «72 ЦП» МЧС России: Кудрявцева А.В. (дов.№358 от 14.12.2023), Перескокова В.Д. (дов.№295 от 27.09.2023),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Кравченко А.В.,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8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ИП Кравченко А.В. на действия ФГБУЗ «72 ЦП» МЧС России (далее — Заказчик) при проведении электронного аукциона на право заключения государственного контракта на закупку Ультразвукового аппарата с функциями цветового допплеровского картирования и импульсно-волновой допплерографии (Закупка № 0373100095323000040) (далее — аукцион), в соответствии с Федеральным законом от 05.04.2013 №44-ФЗ «О контрактной системе в сфере закупок товаров, работ, услуг для обеспечения государственных и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2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муниципальных нужд» (далее - Закон о контрактной системе),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47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доводу жалобы указанным в описании объекта закупки техническим характеристикам, в полной мере, не соответствует ни одна из моделей ультразвукового диагностического оборудования, присутствующая в едином реестре радиоэлектронной продукции. Описание объекта закупки соответствует продукции исключительно иностранного производства более низкого качества, по завышенной цене.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обоснование своей позиции Заявитель указывает, что на день подачи жалобы в едином реестре российской радиоэлектронной продукции зарегистрировано как минимум четыре ультразвуковых аппарата, соответствующих тому же классу (функциональному назначению) радиоэлектронной продукции, что и радиоэлектронная продукция, планируемая к закупке: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НПО «Сканер» № РЭ-3289/21 - Система ультразвуковая диагностическая медицинская «РуСкан 65М» по ТУ 26.60.12-003-98204792-2019 с принадлежностями;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НПО «Сканер» № РЭ-3243/21 - «Система ультразвуковая диагностическая медицинская «РуСкан 65» по ТУ 26.60.12-003-98204792-2019 с принадлежностями;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НПО «Сканер» № РЭ-3290/21 - Система ультразвуковая диагностическая медицинская «РуСкан 70П» по ТУ 26.60.12-004-98204792-2020 с принадлежностями;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«НИПК «Электрон» № РЭ-4832/22 - Система диагностическая для ультразвуковых исследований УЗИ-Электрон».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по мнению Заявителя, требования к товарам Заказчиком установлены, таким образом, что ни одна модель содержащееся в едином реестре российской радиоэлектронной продукции не соответствует требованиям технического задания, что указывает на невозможность реализации положений Постановления Правительства РФ от 10.07.2019 № 878 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№ 925 и признании утратившими силу некоторых актов Правительства Российской Федерации» (далее — Постановление №878).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00" w:line="314" w:lineRule="auto"/>
        <w:ind w:left="0" w:right="0" w:firstLine="700"/>
        <w:jc w:val="both"/>
        <w:rPr>
          <w:sz w:val="20"/>
          <w:szCs w:val="20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94" w:right="537" w:bottom="526" w:left="1105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В силу ч.3 ст.14 Закона о контрактной системе в целях защиты основ конституционного строя, обеспечения обороны страны и безопасности государства, защиты внутреннего рынка Российской Федерации, развития национальной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2023-61604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экономики,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товаров, происходящих из иностранных государств, работ, услуг, соответственно выполняемых, оказываемых иностранными лицами, и ограничения допуска указанных товаров, работ, услуг, включая минимальную обязательную долю закупок российских товаров, в том числе товаров, поставляемых при выполнении закупаемых работ, оказании закупаемых услуг, и перечень таких товаров, для целей осуществления закупок. В случае, если указанными нормативными правовыми актами Правительства Российской Федерации предусмотрены обстоятельства, допускающие исключения из установленных в соответствии с настоящей частью запрета или ограничений,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ограничений, если такими актами не установлено иное. В таких нормативных правовых актах устанавливается порядок подготовки обоснования невозможности соблюдения указанных запрета или ограничений, а также требования к его содержанию. Определение страны происхождения указанных товаров осуществляется в соответствии с законодательством Российской Федерации.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п.15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 об условиях, о запретах и об ограничениях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такие условия, запреты и ограничения установлены в соответствии со ст.14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Абз.4 п.2 Постановления №878 утвержден перечень радиоэлектронной продукции, происходящей из иностранных государств, в отношении которой устанавливаются ограничения для целей осуществления закупок для обеспечения государственных и муниципальных нужд (далее — Перечень).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п.1 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рамках обжалуемой процедуры Заказчиком закупается изделие «Система ультразвуковой визуализации универсальная, с питанием от сети», при этом в описании объекта закупки указано на соответствие закупаемого изделия позиции каталога товаров, работ, услуг для обеспечения государственных и муниципальных нужд (далее — КТРУ) 26.60.12.132</w:t>
        <w:softHyphen/>
        <w:t>00000036 «Система ультразвуковой визуализации универсальная, с питанием от сети», которая, в том числе, соответствует коду по общероссийскому классификатору продукции по видам экономической деятельности 26.60.12.132 «Аппараты ультразвукового сканирования», который, в свою очередь, включен в Перечень, установленный положениями Постановления №878.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Комиссией Управления установлено, что, согласно извещению о проведении электронного аукциона, Заказчиком установлены ограничения, предусмотренные положениями Постановления №878.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П.3 Постановления №878 установлено, что при осуществлении закупок радиоэлектронной продукции, включенной в перечень, за исключением установленного п.3(1) Постановления №878 случая, заказчик отклоняет все заявки, содержащие предложения о поставке радиоэлектронной продукции, происходящей из иностранных государств (за исключением государств - членов Евразийского экономического союза), при условии, что на участие в закупке подана 1 (или более) удовлетворяющая требованиям извещения об осуществлении закупки, документации о закупке (в случае если Федеральным законом «О контрактной системе в сфере закупок товаров, работ, услуг для обеспечения государственных и муниципальных нужд» предусмотрена документация о закупке) заявка, содержащая предложение о поставке радиоэлектронной продукции, страной происхождения которой являются только государства - члены Евразийского экономического союза.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П.3(2) Постановления №878 установлено, что, за исключением случаев, установленных Постановлением №878: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подтверждением страны происхождения радиоэлектронной продукции является наличие сведений о такой продукции в реестре или евразийском реестре промышленных товаров государств;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Евразийского экономического союза, правила формирования и ведения которого устанавливаются правом Евразийского экономического союза (далее - евразийский реестр промышленных товаров);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700"/>
        <w:jc w:val="both"/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62" w:right="541" w:bottom="1176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подтверждением соответствия радиоэлектронной продукции первому уровню является наличие в реестровой записи из реестра или евразийского реестра промышленных товаров сведений о первом уровне радиоэлектронной продукции. Комиссия Управления отмечает, что ранее в редакции Постановления №878 от 27.12.2021 содержались следующие положения.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П.4 Постановления №878 было установлено, что ограничение на допуск радиоэлектронной продукции, происходящей из иностранных государств, не устанавливается, если в реестре и реестре евразийских промышленных товаров отсутствует радиоэлектронная продукция, соответствующая тому же классу (функциональному назначению) радиоэлектронной продукции, планируемой к закупке, и (или) радиоэлектронная продукция, включенная в реестр или реестр евразийских промышленных товаров, по своим функциональным, техническим и (или) эксплуатационным характеристикам не соответствует установленным заказчиком требованиям к планируемой к закупке радиоэлектронной продукции.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согласно п.5 постановления №878 было установлено, что подтверждением случая, установленного п.4 Постановления №878, является разрешение на закупку происходящего из иностранного государства промышленного товара, выданное в порядке, установленном Министерством промышленности и торговли Российской Федерации.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положения п.4, 5 Постановления №878 утратили свою силу с 1 января 2022 года на основании Постановления Правительства РФ от 06.12.2021 № 2213.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единственным условием установления ограничений для целей осуществления закупок для обеспечения государственных и муниципальных нужд, предусмотренных Постановлением №878, является нахождение товара в Перечне.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постановлением №878 не установлены требования о том, что описание объекта закупки должно быть составлено на основании характеристик товаров, содержащихся в Реестре.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жалобы, однако в составе жалобы Заявителем не представлено документов и сведений, указывающих на необходимость Заказчика формировать описание объекта закупки на основании характеристик изделий, содержащихся в реестре.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выводу, что указанный довод Заявителя не нашел своего подтверждения и является необоснованным.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47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доводу жалобы Заказчиком не исполнены требования Постановления Правительства РФ от 3 декабря 2020 г. № 2014 «О минимальной обязательной доле закупок российских товаров и ее достижении заказчиком» (далее — Постановление №2014), в части закупки аппаратов ультразвукового исследования Российского производства не менее 80%.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отмечает, что исходя из буквального толкования положений ст.30.1 Закона о контрактной системе, контроль исполнения вышеуказанных требований осуществляется по итогам прошедшего, а не текущего периода.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346" w:lineRule="auto"/>
        <w:ind w:left="0" w:right="0" w:firstLine="700"/>
        <w:jc w:val="both"/>
        <w:rPr>
          <w:sz w:val="20"/>
          <w:szCs w:val="20"/>
        </w:rPr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41" w:bottom="620" w:left="1106" w:header="0" w:footer="192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Вместе с тем Комиссия Управления отмечает, что согласно п.5 Постановления №2014 Министерство промышленности и торговли Российской Федерации является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2023-61604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федеральным органом исполнительной власти, уполномоченным на осуществление оценки достижения заказчиком минимальной доли закупок.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учитывая, что в рамках рассмотрения данной жалобы Комиссия Управления по контролю в сфере закупок не обладает полномочиями по рассмотрению жалоб и обращений в порядке, предусмотренном постановлением №2014, рассмотрение доводов жалобы в отношении нарушении Заказчиком указанного постановления не может быть осуществлено.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47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указывает, что Заказчиком неправомерно не установлен запрет на допуск программного обеспечения, происходящего из иностранных государств, для целей осуществления закупок для обеспечения государственных и муниципальных нужд, установленный Постановлением Правительства РФ от 16.11.2015 №1236 «Об установлении запрета на допуск программного обеспечения, происходящего из иностранных государств, для целей осуществления закупок для обеспечения государственных и муниципальных нужд» (далее — Постановление №1236).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обоснование своей позиции Заявитель указывает, что закупаемый товар содержит в своем составе программное обеспечение, в связи с чем Заказчик обязан установить запрет на допуск программного обеспечения, происходящего из иностранных государств, предусмотренный Постановлением №1236.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п.2 Постановления №1236 установлен запрет на допуск программ для электронных вычислительных машин и баз данных, реализуемых независимо от вида договора на материальном носителе и (или) в электронном виде по каналам связи, происходящих из иностранных государств (за исключением программного обеспечения, включенного в единый реестр программ для электронных вычислительных машин и баз данных из государств - членов Евразийского экономического союза, за исключением Российской Федерации (далее - реестр евразийского программного обеспечения), а также исключительных прав на такое программное обеспечение и прав использования такого программного обеспечения (далее - программное обеспечение и (или) права на него), для целей осуществления закупок для обеспечения государственных и муниципальных нужд.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согласно извещению о проведении электронного аукциона запрет, предусмотренный положениями Постановления №1236, Заказчиком не установлен.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П.2(1) Постановления №1236 установлено, что для целей применения п.2 Постановления №1236 под программным обеспечением понимают программное обеспечение и (или) права на него вследствие выполнения следующих контрактных обязательств: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23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поставка на материальном носителе и (или) в электронном виде по каналам связи, а также предоставление в аренду или в пользование программного обеспечения посредством использования каналов связи и внешней информационно</w:t>
        <w:softHyphen/>
        <w:t>технологической и программно-аппаратной инфраструктуры, обеспечивающей сбор, обработку и хранение данных (услуги облачных вычислений);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38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поставка, техническое обслуживание персональных электронных вычислительных машин, устройств терминального доступа, серверного оборудования и иных средств вычислительной техники, на которых программное обеспечение подлежит установке в результате исполнения контракта;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38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выполнение работ, оказание услуг, связанных с разработкой, модификацией, модернизацией программного обеспечения, в том числе в составе существующих автоматизированных систем, если такие работы или услуги сопряжены с предоставлением заказчику прав на использование программного обеспечения или расширением ранее предоставленного объема прав;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18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оказание услуг, связанных с сопровождением, технической поддержкой, обновлением программного обеспечения, в том числе в составе существующих автоматизированных систем, если такие услуги сопряжены с предоставлением заказчику прав на использование программного обеспечения или расширением ранее предоставленного объема прав.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Исходя из вышеизложенных положений Постановления №1236 следует, что под программным обеспечиванием, в рамках Постановления №1236, понимается в том числе поставка программного обеспечения на материальных носителях, а также поставка оборудования, на которое в рамках исполнения контракта, подлежит установка программного обеспечения.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Аналогичные выводы отражены в письме Минфина России от 30.04.2020 №24- 03-06/35429.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поставка техники (оборудования) с предустановленным производителем программным обеспечением не является объектом регулирования Постановления №1236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все программное обеспечение, предусмотренное Заказчиком при описании объекта закупки является предустановленным программным обеспечением, ввиду чего запрет, предусмотренный положениями Постановления №1236, Заказчиком не устанавливался.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 Комиссией Управления отмечает, что из описания объекта закупки следует, что программное обеспечение, обеспечивающее функционал закупаемого Заказчиком изделия, является предустановленным программным обеспечением, так как требования к такому программному обеспечению не описаны как самостоятельный объект закупки и указаны как одна из характеристик необходимого изделия, ввиду чего не может быть идентифицировано как объект закупки, в связи с чем вести речь о поставке в рамках обжалуемой процедуры программного обеспечения не приходится.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Доказательств обратного Заявителем не представлено.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Исходя из вышеизложенного Комиссия Управления приходит к выводу, что неустановление Заказчиком запрета, предусмотренного Постановлением №1236, является правомерным и не противоречит положениям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выводу, что данный довод жалобы не нашел своего подтверждения и является необоснованным.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в составе жалобы Заявитель указывает, что при описания закупаемого изделия Заказчиком использована дополнительная, не предусмотренная позицией КТРУ 26.60.12.132-00000036 «Система ультразвуковой визуализации универсальная, с питанием от сети», информация, в то время как использование такой информации, в случае установления в составе извещения ограничений, предусмотренных положениями Постановления №878, является неправомерным.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описании объекта закупки, Заказчиком установлено, например следующее требование к закупаемому изделию: «2.4.4. Режим автоподстройки доплеровского изображения: Наличие», «2.1.9. Цветной допплер СТМ: Наличие».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Постановлением Правительства Российской Федерации от 08.02.2017 № 145, которым 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(далее — правила формирования КТРУ) и Правила использования каталога товаров, работ, услуг для обеспечения государственных и муниципальных нужд (далее — Правила использования КТРУ).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п.14 ч.3 ст.4 Закона о контрактной системе единая информационная система содержит каталог товаров, работ, услуг для обеспечения государственных и муниципальных нужд.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п.5 ч.1 ст.42 Закона о контрактной системе извещение об осуществлении закупки должно содержать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ч.6 ст.23 Закона о контрактной системе,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ч.6 ст.23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пп.«а» п.2 Правила использования КТРУ каталог используется заказчиками в целях обеспечения применения информации о товарах, работах, услугах, в том числе в: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02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извещении об осуществлении закупки;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02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приглашении принять участие в определении поставщика (подрядчика, исполнителя) (далее — приглашение);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02" w:val="left"/>
          <w:tab w:pos="1434" w:val="left"/>
          <w:tab w:pos="10194" w:val="righ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документации о закупке (в случае если</w:t>
        <w:tab/>
        <w:t>Федеральным законом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предусмотрена документация о закупке);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02" w:val="left"/>
          <w:tab w:pos="1434" w:val="left"/>
        </w:tabs>
        <w:bidi w:val="0"/>
        <w:spacing w:before="0" w:after="4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контракте;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02" w:val="left"/>
          <w:tab w:pos="1434" w:val="left"/>
        </w:tabs>
        <w:bidi w:val="0"/>
        <w:spacing w:before="0" w:after="4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реестре контрактов, заключенных заказчиками.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п.4 Правил использования КТРУ Заказчики обязаны применять информацию, включенную в позицию каталога в соответствии с пп.«б» - «г» и «е» - «з» п.10 Правил формирования КТРУ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п.5 Правил использования КТРУ заказчик вправе указать в извещении об осуществлении закупки, приглашении и документации о закупке (в случае если Законом о контрактной системе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Закона о контрактной системе, которые не предусмотрены в позиции каталога, за исключением случаев:</w:t>
      </w:r>
    </w:p>
    <w:p>
      <w:pPr>
        <w:pStyle w:val="Style1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18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осуществления закупки радиоэлектронной продукции, включенной в пункты 25(1) - 25(7) перечня промышленных товаров, происходящих из иностранных государств (за исключением государств - членов Евразийского экономического союза), в отношении которых устанавливается запрет на допуск для целей осуществления закупок для государственных и муниципальных нужд, предусмотренного приложением к постановлению Правительства Российской Федерации от 30 апреля 2020 г. № 616 «Об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государства», при условии установления в соответствии с указанным постановлением запрета на допуск радиоэлектронной продукции, происходящей из иностранных государств, а также осуществления закупки радиоэлектронной продукции, включенной в перечень радиоэлектронной продукции, происходящей из иностранных государств, в отношении которой устанавливаются ограничения для целей осуществления закупок для обеспечения государственных и муниципальных нужд, утвержденный Постановлением №878, при условии установления в соответствии с указанным постановлением ограничения на допуск радиоэлектронной продукции, происходящей из иностранных государств;</w:t>
      </w:r>
    </w:p>
    <w:p>
      <w:pPr>
        <w:pStyle w:val="Style1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18" w:val="left"/>
        </w:tabs>
        <w:bidi w:val="0"/>
        <w:spacing w:before="0" w:after="4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если иное не предусмотрено особенностями описания отдельных видов объектов закупок, устанавливаемыми Правительством Российской Федерации в соответствии с ч.5 ст.33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п.7 Правил использования КТРУ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ст.33 Закона о контрактной системе. При проведении предусмотренных Федеральным законом электронных процедур, закрытых электронных процедур характеристики объекта закупки, предусмотренные п.1 ч.1 ст.33 Закона о контрактной системе,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ч.1 ст.42, п.1 ч.1 ст.75 Закона о контрактной системе соответственно.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позиция КТРУ 26.60.12.132-00000036 «Система ультразвуковой визуализации универсальная, с питанием от сети» обязательна к применению с 13.12.2023, ввиду чего Заказчик не применял при описании объекта закупки данную позицию КТРУ.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отмечает, что, согласно сведениям, указанным в позиции КТРУ 26.60.12.132-00000036 «Система ультразвуковой визуализации универсальная, с питанием от сети», обязательна к применению с 13.12.2023 редакция позиции от 13.11.2023, в то время как, на момент утверждения извещения, обязательной к применению является редакция позиции КТРУ от 30.03.2023.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 Комиссия Управления отмечает, что в составе извещения Заказчиком указано на применение позиции КТРУ 26.60.12.132-00000036 «Система ультразвуковой визуализации универсальная, с питанием от сети».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 Комиссия Управления отмечает, что в п.5 Правил использования КТРУ однозначно указано, что заказчик вправе указывать как дополнительную информацию, так и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ст.33 Закона о контрактной системе, которые не предусмотрены в позиции каталога, за исключением, в том числе, случая осуществления закупки радиоэлектронной продукции перечень радиоэлектронной продукции, происходящей из иностранных государств, в отношении которой устанавливаются ограничения для целей осуществления закупок для обеспечения государственных и муниципальных нужд, утвержденный Постановлением №878.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Исходя из вышеизложенного однозначно следует, что указание дополнительной информации, не предусмотренной позицией КТРУ, в случае осуществления закупки радиоэлектронной продукции перечень радиоэлектронной продукции, происходящей из иностранных государств, в отношении которой устанавливаются ограничения для целей осуществления закупок для обеспечения государственных и муниципальных нужд, утвержденный Постановлением №878, является неправомерным.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этим, как установлено Комиссией Управления, используемая Заказчиком позиция КТРУ 26.60.12.132-00000036 «Система ультразвуковой визуализации универсальная» не содержит в своем составе, такую информацию и требования как, например: ««2.4.4. Режим автоподстройки доплеровского изображения: Наличие», «2.1.9. Цветной допплер СТМ: Наличие».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 об обоснованности довода жалобы и о нарушении Заказчиком положений ч.6 ст.23 Закона о контрактной системе, что также содержит признаки состава административного правонарушения, ответственность за которое предусмотрена ч.1.4 ст.7.30 Кодекса Российской Федерации об административных правонарушениях.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5. Также в составе жалобы Заявитель указывает, что в структурированной форме извещения, в нарушения п.7 Правил использования КТРУ, не содержатся требования к характеристикам закупаемого изделия, ввиду чего участникам закупки не представляется возможным надлежащим образом заполнить заявку на участие в закупке.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отмечает, что действующая редакция п.7 Правил использования КТРУ утверждена пп.«б» п.8 Постановления Правительства РФ от 31.10.2022 №1946 «О внесении изменений в некоторые акты Правительства Российской Федерации по вопросам осуществления закупок товаров, работ, услуг для обеспечения государственных и муниципальных нужд, закупок товаров, работ, услуг отдельными видами юридических лиц и признании утратившими силу постановления Правительства Российской Федерации от 26 сентября 1997 г. №1222 и отдельных положений некоторых актов Правительства Российской Федерации» (далее — Постановление №1946).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Вместе с этим п.4 Постановления №1946 в том числе предусмотрено, что положения пп.«б» п.8 изменений, утвержденных Постановления №1946, применяются при осуществлении закупок товаров, работ, услуг для обеспечения государственных и муниципальных нужд,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извещения об осуществлении которых размещены в единой информационной системе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приглашения принять участие в определении поставщика (подрядчика, исполнителя) по которым направлены с 1 октября 2023 г.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извещение о проведении электронного аукциона опубликовано 07.09.2023.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ст.4 Гражданского кодекса Российской Федерации акты гражданского законодательства не имеют обратной силы и применяются к отношениям, возникшим после введения их в действие. Действие закона распространяется на отношения, возникшие до введения его в действие, только в случаях, когда это прямо предусмотрено законом.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Исходя из вышеизложенного Комиссия Управления приходит к выводу, что у Заказчика отсутствовала обязанность по включению в структурированную форму извещения сведений о характеристиках закупаемого изделия.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  <w:sectPr>
          <w:headerReference w:type="default" r:id="rId15"/>
          <w:footerReference w:type="default" r:id="rId16"/>
          <w:footnotePr>
            <w:pos w:val="pageBottom"/>
            <w:numFmt w:val="decimal"/>
            <w:numRestart w:val="continuous"/>
          </w:footnotePr>
          <w:pgSz w:w="11900" w:h="16840"/>
          <w:pgMar w:top="1162" w:right="531" w:bottom="1176" w:left="1087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выводу, что данный довод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жалобы не нашел своего подтверждения и является необоснованным.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6. Также, согласно доводам Заявителя, установленные Заказчиком требования к характеристикам необходимого к поставке изделия «Система ультразвуковой визуализации универсальная» ограничивают круг участников закупки, поскольку совокупности установленных требований к изделию соответствуют изделия единственного производителя компании «Мшскау Мес1ша1 ИПегпаПопа! I лш1ес1».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совокупности требований извещения, помимо изделий компании «Мшскау Мес1ша1 1п1еп1а11опа1 1лш1ес1», также соответствуют изделие «РЬ111р^ ЛП’шИу 70», производства компании «Филипс Ультрасаунд, ЛЛС» (регистрационное удостоверение РЗН 2016/4203 от 02.08.2023).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определено, что Заказчиком в описании объекта закупки установлены в том числе следующие требования к закупаемому изделию «Система ультразвуковой визуализации универсальная, с питанием от сети»:</w:t>
      </w:r>
    </w:p>
    <w:p>
      <w:pPr>
        <w:pStyle w:val="Style1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432" w:val="left"/>
          <w:tab w:pos="1434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«1.2.10 Линейный датчик: Наличие»;</w:t>
      </w:r>
    </w:p>
    <w:p>
      <w:pPr>
        <w:pStyle w:val="Style1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432" w:val="left"/>
          <w:tab w:pos="1434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«1.2.10.1 Диапазон рабочих частот, МГц не уже 5.0-12.0»;</w:t>
      </w:r>
    </w:p>
    <w:p>
      <w:pPr>
        <w:pStyle w:val="Style1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432" w:val="left"/>
          <w:tab w:pos="1434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«1.2.10.2 Апертура, мм не менее 38»;</w:t>
      </w:r>
    </w:p>
    <w:p>
      <w:pPr>
        <w:pStyle w:val="Style1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432" w:val="left"/>
          <w:tab w:pos="1434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«1.2.10.3 Количество элементов датчика не менее 192»;</w:t>
      </w:r>
    </w:p>
    <w:p>
      <w:pPr>
        <w:pStyle w:val="Style1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432" w:val="left"/>
          <w:tab w:pos="1434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«1.2.10.4 Максимальный угол отклонения луча в В-режима, градусов не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уже '+/-12»;</w:t>
      </w:r>
    </w:p>
    <w:p>
      <w:pPr>
        <w:pStyle w:val="Style1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432" w:val="left"/>
          <w:tab w:pos="1434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«1.2.10.5 Максимальная глубина сканирования, мм не менее 280».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 Комиссией Управления установлено, что, в инструкции изделия «РЪШр8 ЛП’шИу 70», размещенной в государственном реестре медицинских изделий и организаций (индивидуальных предпринимателей), осуществляющих производство и изготовление медицинских изделий (далее — Реестр), изделие отсутствуют сведения о характеристике «Максимальная глубина сканирования».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Комиссии Управлении не представляется возможным прийти к выводу, что изделие «РЪШрз ЛП’шИу 70», производства компании «Филипс Ультрасаунд, ЛЛС», соответствует требованиям извещения.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Исходя из вышеизложенного, в отсутствие доказательств соответствия требованиям извещения изделий нескольких производителей, Комиссия Управления приходит к выводу, что требованиям извещения соответствуют исключительно изделия единственного производителя «Мшскау Мес1ша1 ИПегпаПопа! кшп1ес1».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994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на основании имеющихся документов и сведений, Комиссия Управления приходит к выводу о нарушении Заказчиком положений п.1 ч.1 ст.33 Закона о контрактной системе при формировании описания объекта закупки, что также свидетельствует о наличии в действиях Заказчика признаков состава административного правонарушения, ответственность за которое предусмотрена ч.4.1</w:t>
        <w:tab/>
        <w:t>ст.7.30 Кодекса Российской Федерации об административных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4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правонарушениях.</w:t>
      </w:r>
    </w:p>
    <w:p>
      <w:pPr>
        <w:pStyle w:val="Style1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064" w:val="left"/>
        </w:tabs>
        <w:bidi w:val="0"/>
        <w:spacing w:before="0" w:after="0" w:line="346" w:lineRule="auto"/>
        <w:ind w:left="0" w:right="0" w:firstLine="700"/>
        <w:jc w:val="both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Также в составе жалобы Заявитель указывает, что составе извещения, в том числе в проекте контракта, не содержатся сведений о сроке действия и окончания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2023-61604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4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контракта.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п.8 ч.1 ст.42 Закона о контрактной системе извещение об осуществлении закупки должно содержать срок исполнения контракта (отдельных этапов исполнения контракта, если проектом контракта предусмотрены такие этапы).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п.5 ч.2 ст.42 Закона о контрактной системе извещение об осуществлении закупки, если иное не предусмотрено Законом о контрактной системе, должно содержать электронный документ, содержащий проект контракта.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составе извещения Заказчиком размещена в том числе следующая информация:</w:t>
      </w:r>
    </w:p>
    <w:p>
      <w:pPr>
        <w:pStyle w:val="Style1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426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«Дата начала исполнения контракта: 1 календарных дней с даты заключения контракта»;</w:t>
      </w:r>
    </w:p>
    <w:p>
      <w:pPr>
        <w:pStyle w:val="Style1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2126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«Срок исполнения контракта: 90 календарных дней».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Исходя из вышеизложенного Комиссия Управления приходит к выводу, что сведения о сроках исполнения контракта размещены Заказчиком в составе извещения.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выводу, что данный довод жалобы не нашел своего подтверждения и является необоснованным.</w:t>
      </w:r>
    </w:p>
    <w:p>
      <w:pPr>
        <w:pStyle w:val="Style1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059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в составе жалобы Заявитель указывает, что в составе извещения отсутствуют сведения о необходимости обеспечения гарантийных обязательств.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п.17 ч.1 ст.42 Закона о контрактной системе извещение об осуществлении закупки должно содержать размер обеспечения исполнения контракта, гарантийных обязательств, порядок предоставления такого обеспечения, требования к такому обеспечению (если требование обеспечения исполнения контракта, гарантийных обязательств установлено в соответствии со ст.96 Закона о контрактной системе).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составе извещения Заказчиком в том числе указана следующая информация: «Обеспечение гарантийных обязательств: Обеспечение гарантийных обязательств не требуется».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Исходя из вышеизложенного Комиссия Управления приходит к выводу, что сведения об обеспечении гарантийных обязательств размещены Заказчиком в составе извещения.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выводу, что данный довод жалобы не нашел своего подтверждения и является необоснованным.</w:t>
      </w:r>
    </w:p>
    <w:p>
      <w:pPr>
        <w:pStyle w:val="Style1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064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в составе жалобы Заявитель указывает, что Заказчиком не исполнены надлежащим образом предписания, выданные ранее контролирующим органом.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28.09.2023 Комиссией Управления рассмотрена жалоба Заявителя (реестровый номер жалобы 202300100161022722) на действия Заказчика при проведении вышеуказанного аукциона.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314" w:lineRule="auto"/>
        <w:ind w:left="0" w:right="0" w:firstLine="700"/>
        <w:jc w:val="both"/>
        <w:rPr>
          <w:sz w:val="20"/>
          <w:szCs w:val="20"/>
        </w:rPr>
        <w:sectPr>
          <w:headerReference w:type="default" r:id="rId17"/>
          <w:footerReference w:type="default" r:id="rId18"/>
          <w:footnotePr>
            <w:pos w:val="pageBottom"/>
            <w:numFmt w:val="decimal"/>
            <w:numRestart w:val="continuous"/>
          </w:footnotePr>
          <w:pgSz w:w="11900" w:h="16840"/>
          <w:pgMar w:top="1162" w:right="542" w:bottom="620" w:left="1105" w:header="0" w:footer="192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В результате рассмотрения жалобы в действиях Заказчика Комиссией Управления выявлены нарушения, в том числе, положений ч.6 ст.23 Закона о контрактной системе, что также отражено в решении по делу №077/06/106-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2023-61604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13332/2023 от 28.09.2023 (далее — Решение от 28.09.2023).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18.10.2023 Комиссией Управления рассмотрена жалоба Заявителя (реестровый номер жалобы 202300100161023863) на действия Заказчика при проведении вышеуказанного аукциона.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 в действиях Заказчика Комиссией Управления выявлены нарушения, в том числе, положений ч.6 ст.23, п.1 ч.1 ст.33, п.2 ч.22 ст.99 Закона о контрактной системе, что также отражено в решении по делу №077/06/106-14592/2023 от 18.10.2023 (далее — Решение от 18.10.2023).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14.11.2023 Комиссией Управления рассмотрена жалоба Заявителя (реестровый номер жалобы 202300100161026049) на действия Заказчика при проведении вышеуказанного аукциона.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 в действиях Заказчика Комиссией Управления выявлены нарушения, в том числе, положений п.1 ч.1 ст.33,п.2 ч.22 ст.99 Закона о контрактной системе, что также отражено в решении по делу №077/06/106- 16080/2023 от 14.11.2023 (далее — Решение от 14.11.2023).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п.2 ч.22 ст.99 Закона о контрактной системе при выявлении в результате проведения контрольным органом в сфере закупок плановых и внеплановых проверок, а также в результате рассмотрения жалобы на действия (бездействие) субъектов контроля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Федерации, в том числе об аннулировании определения поставщиков (подрядчиков, исполнителей).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 Заказчику было выданы обязательные для исполнения предписание:</w:t>
      </w:r>
    </w:p>
    <w:p>
      <w:pPr>
        <w:pStyle w:val="Style12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28.09.2023 по делу № 077/06/106-13332/2023 об устранении нарушений законодательства о контрактной системе (далее — Предписание от 28.09.2023);</w:t>
      </w:r>
    </w:p>
    <w:p>
      <w:pPr>
        <w:pStyle w:val="Style12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18.10.2023 по делу № 077/06/106-14592/2023 об устранении нарушений законодательства о контрактной системе (далее — Предписание от 18.10.2023);</w:t>
      </w:r>
    </w:p>
    <w:p>
      <w:pPr>
        <w:pStyle w:val="Style12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14.11.2023 по делу № 077/06/106-16080/2023 об устранении нарушений законодательства о контрактной системе (далее — Предписание от 14.11.2023).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Предписаниям Заказчику необходимо совершить в том следующие действия, например согласно Предписанию от 18.10.2023: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 Заказчику:</w:t>
      </w:r>
    </w:p>
    <w:p>
      <w:pPr>
        <w:pStyle w:val="Style12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  <w:sectPr>
          <w:headerReference w:type="default" r:id="rId19"/>
          <w:footerReference w:type="default" r:id="rId20"/>
          <w:footnotePr>
            <w:pos w:val="pageBottom"/>
            <w:numFmt w:val="decimal"/>
            <w:numRestart w:val="continuous"/>
          </w:footnotePr>
          <w:pgSz w:w="11900" w:h="16840"/>
          <w:pgMar w:top="1162" w:right="546" w:bottom="1162" w:left="1106" w:header="0" w:footer="3" w:gutter="0"/>
          <w:cols w:space="720"/>
          <w:noEndnote/>
          <w:rtlGutter w:val="0"/>
          <w:docGrid w:linePitch="360"/>
        </w:sectPr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привести извещение о проведении электронного аукциона в соответствие с требованиями Закона о контрактной системе и с учетом решения от 18.10.2023 по делу №077/06/106-14592/2023 и разместить соответствующее извещение в единой информационной системе;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6. Заказчику, Комиссии по осуществлению закупок в срок до 17.11.2023 представить в Московское УФАС России подтверждение исполнения настоящего предписания в письменном виде или по факсимильной связи (8(495) 607-42-92) или электронной почте по адресу: 1о 77@/а$. доV. ги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определено, что в Решении от 18.10.2023, Решении от 14.11.2023 доводы жалобы о соответствии совокупности требований извещения изделиям единственного производителя «Мшскау Мес1ша1 ИПегпаПопа! I ашНес!» признаны Комиссиями Управления обоснованными.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Комиссией Управления определено, что в Решении от 28.09.2023, Решении от 18.10.2023 доводы жалобы об установлении в составе извещения требований к характеристикам закупаемого изделия, не предусмотренных КТРУ, в то время как в рамках закупочной процедуры установлены ограничения для целей осуществления закупок для обеспечения государственных и муниципальных нужд, предусмотренные Постановлением №878, также признаны Комиссиями Управления обоснованными.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Помимо этого в Решении от 18.10.2023, а также в Решении от 14.11.2023, Комиссиями Управления установлен факт неисполнения Заказчиком ранее выданных предписаний, в частности Предписания от 28.09.2023, Предписания от 18.10.2023.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Комиссией Управления установлено, что 06.12.2023 Заказчиком размещена новая редакция извещения.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Однако, как установлено Комиссией Управления, в действующей редакции извещения Заказчиком по прежнему установлены требования к закупаемому изделию, совокупности которых соответствуют исключительно изделия производства компании «Мшскау Мес1ша1 1п!егпа11опа1 1атИес1». а также установлены требования к характеристикам закупаемого изделия, не предусмотренные позицией КТРУ, в то время как в рамках закупочной процедуры установлены ограничения для целей осуществления закупок для обеспечения государственных и муниципальных нужд, предусмотренные Постановлением №878.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 Комиссия Управления приходит к выводу, что Заказчиком повторно не исполнены в полном объеме выданные ранее предписания.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 о нарушении Заказчиком положений п.2 ч.22 ст.99 Закона о контрактной системе, что свидетельствует о наличии в действиях Заказчика признаков состава административного правонарушения, ответственность за которое предусмотрена ч.7 ст.19.5 Кодекса Российской Федерации об административных правонарушениях.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8. Помимо этого Заявитель указывает, что размещенный Заказчиком по результатам определения поставщика (подрядчика, исполнителя) контракт с победителем закупки содержит ряд нарушений.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300" w:lineRule="auto"/>
        <w:ind w:left="0" w:right="0" w:firstLine="700"/>
        <w:jc w:val="both"/>
        <w:rPr>
          <w:sz w:val="20"/>
          <w:szCs w:val="20"/>
        </w:rPr>
        <w:sectPr>
          <w:headerReference w:type="default" r:id="rId21"/>
          <w:footerReference w:type="default" r:id="rId22"/>
          <w:footnotePr>
            <w:pos w:val="pageBottom"/>
            <w:numFmt w:val="decimal"/>
            <w:numRestart w:val="continuous"/>
          </w:footnotePr>
          <w:pgSz w:w="11900" w:h="16840"/>
          <w:pgMar w:top="1167" w:right="546" w:bottom="668" w:left="1106" w:header="0" w:footer="240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Согласно п.4 ч.2 ст.105 Закона о контрактной системе жалоба на действия (бездействие) субъекта (субъектов) контроля, совершенные при заключении контракта после размещения в единой информационной системе протокола подведения итогов определения поставщика (подрядчика, исполнителя), подписания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2023-61604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такого протокола (при проведении закрытого конкурса, закрытого аукциона), может быть подана участником закупки, с которым заключается контракт, или участником закупки, признанным уклонившимся от заключения контракта, не позднее даты заключения контракта.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 Комиссией Управления установлено, что ИП Кравченко А.В. не является участником закупки, с которым заключается контракт, а также не является участником закупки, признанным уклонившимся от заключения контракта, ввиду чего данный довод жалобы не может быть рассмотрен Комиссией Управления.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  <w:sectPr>
          <w:headerReference w:type="default" r:id="rId23"/>
          <w:footerReference w:type="default" r:id="rId24"/>
          <w:footnotePr>
            <w:pos w:val="pageBottom"/>
            <w:numFmt w:val="decimal"/>
            <w:numRestart w:val="continuous"/>
          </w:footnotePr>
          <w:pgSz w:w="11900" w:h="16840"/>
          <w:pgMar w:top="1162" w:right="546" w:bottom="1162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12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ИП Кравченко А.В. на действия ФГБУЗ «72 ЦП» МЧС России обоснованной в части формирования описания объекта закупки в нарушение Закона о контрактной системе, а также в части неисполнения ранее выданных предписаний контролирующего органа.</w:t>
      </w:r>
    </w:p>
    <w:p>
      <w:pPr>
        <w:pStyle w:val="Style12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в действиях Заказчика нарушение ч.6 ст.23, п.1 ч.1 ст.33, п.2 ч.22 ст.99 Закона о контрактной системе.</w:t>
      </w:r>
    </w:p>
    <w:p>
      <w:pPr>
        <w:pStyle w:val="Style12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Выдать Заказчику обязательное для исполнения предписание об устранении нарушений Закона о контрактной системе.</w:t>
      </w:r>
    </w:p>
    <w:p>
      <w:pPr>
        <w:pStyle w:val="Style12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1416" w:val="left"/>
        </w:tabs>
        <w:bidi w:val="0"/>
        <w:spacing w:before="0" w:after="32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27" w:bottom="1321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39700" distB="356235" distL="0" distR="0" simplePos="0" relativeHeight="125829378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139700</wp:posOffset>
                </wp:positionV>
                <wp:extent cx="1896110" cy="250190"/>
                <wp:wrapTopAndBottom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611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57.950000000000003pt;margin-top:11.pt;width:149.30000000000001pt;height:19.699999999999999pt;z-index:-125829375;mso-wrap-distance-left:0;mso-wrap-distance-top:11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76530" distB="0" distL="0" distR="1789430" simplePos="0" relativeHeight="125829380" behindDoc="0" locked="0" layoutInCell="1" allowOverlap="1">
            <wp:simplePos x="0" y="0"/>
            <wp:positionH relativeFrom="page">
              <wp:posOffset>3074035</wp:posOffset>
            </wp:positionH>
            <wp:positionV relativeFrom="paragraph">
              <wp:posOffset>176530</wp:posOffset>
            </wp:positionV>
            <wp:extent cx="389890" cy="572770"/>
            <wp:wrapTopAndBottom/>
            <wp:docPr id="30" name="Shape 3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box 31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615315</wp:posOffset>
                </wp:positionV>
                <wp:extent cx="1280160" cy="100330"/>
                <wp:wrapNone/>
                <wp:docPr id="32" name="Shape 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8" type="#_x0000_t202" style="position:absolute;margin-left:281.15000000000003pt;margin-top:48.45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301625</wp:posOffset>
                </wp:positionV>
                <wp:extent cx="1725295" cy="255905"/>
                <wp:wrapNone/>
                <wp:docPr id="34" name="Shape 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0" type="#_x0000_t202" style="position:absolute;margin-left:277.55000000000001pt;margin-top:23.75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39700" distB="356235" distL="0" distR="0" simplePos="0" relativeHeight="125829381" behindDoc="0" locked="0" layoutInCell="1" allowOverlap="1">
                <wp:simplePos x="0" y="0"/>
                <wp:positionH relativeFrom="page">
                  <wp:posOffset>6085205</wp:posOffset>
                </wp:positionH>
                <wp:positionV relativeFrom="paragraph">
                  <wp:posOffset>139700</wp:posOffset>
                </wp:positionV>
                <wp:extent cx="1136650" cy="250190"/>
                <wp:wrapTopAndBottom/>
                <wp:docPr id="36" name="Shape 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2" type="#_x0000_t202" style="position:absolute;margin-left:479.15000000000003pt;margin-top:11.pt;width:89.5pt;height:19.699999999999999pt;z-index:-125829372;mso-wrap-distance-left:0;mso-wrap-distance-top:11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Грешнева Дарья Сергеевна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>067961ЕЕ87Е758АЕ5АСО096СЕ0АЕ9125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16.03.2023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08.06.2024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20"/>
        <w:jc w:val="left"/>
      </w:pPr>
      <w:r>
        <w:drawing>
          <wp:anchor distT="0" distB="0" distL="114300" distR="1903730" simplePos="0" relativeHeight="125829383" behindDoc="0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38" name="Shape 3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box 39"/>
                    <pic:cNvPicPr/>
                  </pic:nvPicPr>
                  <pic:blipFill>
                    <a:blip r:embed="rId27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3569970</wp:posOffset>
                </wp:positionH>
                <wp:positionV relativeFrom="paragraph">
                  <wp:posOffset>464185</wp:posOffset>
                </wp:positionV>
                <wp:extent cx="1280160" cy="103505"/>
                <wp:wrapNone/>
                <wp:docPr id="40" name="Shape 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6" type="#_x0000_t202" style="position:absolute;margin-left:281.10000000000002pt;margin-top:36.550000000000004pt;width:100.8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153670</wp:posOffset>
                </wp:positionV>
                <wp:extent cx="1725295" cy="255905"/>
                <wp:wrapNone/>
                <wp:docPr id="42" name="Shape 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8" type="#_x0000_t202" style="position:absolute;margin-left:277.5pt;margin-top:12.1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Матюшенко Александр Александрович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44СЕО19Э689ЕВ23598ВССВЕ99Е1С6Е2С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10.04.2023 </w:t>
      </w:r>
      <w:r>
        <w:rPr>
          <w:color w:val="7D7D7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03.07.2024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20"/>
        <w:jc w:val="left"/>
      </w:pPr>
      <w:r>
        <w:drawing>
          <wp:anchor distT="0" distB="0" distL="114300" distR="1903730" simplePos="0" relativeHeight="125829384" behindDoc="0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44" name="Shape 4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box 45"/>
                    <pic:cNvPicPr/>
                  </pic:nvPicPr>
                  <pic:blipFill>
                    <a:blip r:embed="rId29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3569970</wp:posOffset>
                </wp:positionH>
                <wp:positionV relativeFrom="paragraph">
                  <wp:posOffset>464185</wp:posOffset>
                </wp:positionV>
                <wp:extent cx="1280160" cy="100330"/>
                <wp:wrapNone/>
                <wp:docPr id="46" name="Shape 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2" type="#_x0000_t202" style="position:absolute;margin-left:281.10000000000002pt;margin-top:36.550000000000004pt;width:100.8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150495</wp:posOffset>
                </wp:positionV>
                <wp:extent cx="1725295" cy="259080"/>
                <wp:wrapNone/>
                <wp:docPr id="48" name="Shape 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4" type="#_x0000_t202" style="position:absolute;margin-left:277.5pt;margin-top:11.85pt;width:135.84999999999999pt;height:20.40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Е.Д. Мартьянова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Мартьянова Елена Дмитриевна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>0092302А1Е2Е826946Э4ЕЕЕ7722Э2557ЕЕ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19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05.12.2023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27.02.2025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 Матюшенко А.А., 8(495)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27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517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2023-61604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pt;margin-top:804.5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2023-61604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5170" cy="10033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2023-61604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57.200000000000003pt;margin-top:794.70000000000005pt;width:57.100000000000001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2023-61604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5170" cy="100330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2023-61604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0" type="#_x0000_t202" style="position:absolute;margin-left:57.200000000000003pt;margin-top:794.70000000000005pt;width:57.100000000000001pt;height:7.9000000000000004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2023-61604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5170" cy="100330"/>
              <wp:wrapNone/>
              <wp:docPr id="20" name="Shape 2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2023-61604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6" type="#_x0000_t202" style="position:absolute;margin-left:57.200000000000003pt;margin-top:794.70000000000005pt;width:57.100000000000001pt;height:7.9000000000000004pt;z-index:-1887440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2023-61604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4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5170" cy="100330"/>
              <wp:wrapNone/>
              <wp:docPr id="26" name="Shape 2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2023-61604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2" type="#_x0000_t202" style="position:absolute;margin-left:57.200000000000003pt;margin-top:794.70000000000005pt;width:57.100000000000001pt;height:7.9000000000000004pt;z-index:-18874403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2023-61604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3902075</wp:posOffset>
              </wp:positionH>
              <wp:positionV relativeFrom="page">
                <wp:posOffset>210185</wp:posOffset>
              </wp:positionV>
              <wp:extent cx="128270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82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7.25pt;margin-top:16.550000000000001pt;width:10.1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3902710</wp:posOffset>
              </wp:positionH>
              <wp:positionV relativeFrom="page">
                <wp:posOffset>476250</wp:posOffset>
              </wp:positionV>
              <wp:extent cx="128270" cy="103505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82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307.30000000000001pt;margin-top:37.5pt;width:10.1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3902075</wp:posOffset>
              </wp:positionH>
              <wp:positionV relativeFrom="page">
                <wp:posOffset>210185</wp:posOffset>
              </wp:positionV>
              <wp:extent cx="128270" cy="103505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82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307.25pt;margin-top:16.550000000000001pt;width:10.1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3902710</wp:posOffset>
              </wp:positionH>
              <wp:positionV relativeFrom="page">
                <wp:posOffset>476250</wp:posOffset>
              </wp:positionV>
              <wp:extent cx="128270" cy="103505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82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8" type="#_x0000_t202" style="position:absolute;margin-left:307.30000000000001pt;margin-top:37.5pt;width:10.1pt;height:8.15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3902075</wp:posOffset>
              </wp:positionH>
              <wp:positionV relativeFrom="page">
                <wp:posOffset>210185</wp:posOffset>
              </wp:positionV>
              <wp:extent cx="128270" cy="103505"/>
              <wp:wrapNone/>
              <wp:docPr id="16" name="Shape 1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82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2" type="#_x0000_t202" style="position:absolute;margin-left:307.25pt;margin-top:16.550000000000001pt;width:10.1pt;height:8.1500000000000004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3902710</wp:posOffset>
              </wp:positionH>
              <wp:positionV relativeFrom="page">
                <wp:posOffset>476250</wp:posOffset>
              </wp:positionV>
              <wp:extent cx="128270" cy="103505"/>
              <wp:wrapNone/>
              <wp:docPr id="18" name="Shape 1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82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4" type="#_x0000_t202" style="position:absolute;margin-left:307.30000000000001pt;margin-top:37.5pt;width:10.1pt;height:8.1500000000000004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3902075</wp:posOffset>
              </wp:positionH>
              <wp:positionV relativeFrom="page">
                <wp:posOffset>210185</wp:posOffset>
              </wp:positionV>
              <wp:extent cx="128270" cy="103505"/>
              <wp:wrapNone/>
              <wp:docPr id="22" name="Shape 2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82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8" type="#_x0000_t202" style="position:absolute;margin-left:307.25pt;margin-top:16.550000000000001pt;width:10.1pt;height:8.1500000000000004pt;z-index:-18874404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2" behindDoc="1" locked="0" layoutInCell="1" allowOverlap="1">
              <wp:simplePos x="0" y="0"/>
              <wp:positionH relativeFrom="page">
                <wp:posOffset>3902710</wp:posOffset>
              </wp:positionH>
              <wp:positionV relativeFrom="page">
                <wp:posOffset>476250</wp:posOffset>
              </wp:positionV>
              <wp:extent cx="128270" cy="103505"/>
              <wp:wrapNone/>
              <wp:docPr id="24" name="Shape 2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82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0" type="#_x0000_t202" style="position:absolute;margin-left:307.30000000000001pt;margin-top:37.5pt;width:10.1pt;height:8.1500000000000004pt;z-index:-18874404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4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8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1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1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14">
    <w:multiLevelType w:val="multilevel"/>
    <w:lvl w:ilvl="0">
      <w:start w:val="7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1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18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  <w:num w:numId="19">
    <w:abstractNumId w:val="18"/>
  </w:num>
  <w:num w:numId="21">
    <w:abstractNumId w:val="2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10">
    <w:name w:val="Заголовок №2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1">
    <w:name w:val="Подпись к картинке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character" w:customStyle="1" w:styleId="CharStyle26">
    <w:name w:val="Основной текст (2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5E5E5E"/>
      <w:sz w:val="12"/>
      <w:szCs w:val="12"/>
      <w:u w:val="none"/>
    </w:rPr>
  </w:style>
  <w:style w:type="character" w:customStyle="1" w:styleId="CharStyle32">
    <w:name w:val="Основной текст (4)_"/>
    <w:basedOn w:val="DefaultParagraphFont"/>
    <w:link w:val="Style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9">
    <w:name w:val="Заголовок №2"/>
    <w:basedOn w:val="Normal"/>
    <w:link w:val="CharStyle10"/>
    <w:pPr>
      <w:widowControl w:val="0"/>
      <w:shd w:val="clear" w:color="auto" w:fill="auto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spacing w:line="257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spacing w:after="22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0">
    <w:name w:val="Подпись к картинке"/>
    <w:basedOn w:val="Normal"/>
    <w:link w:val="CharStyle21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paragraph" w:customStyle="1" w:styleId="Style25">
    <w:name w:val="Основной текст (2)"/>
    <w:basedOn w:val="Normal"/>
    <w:link w:val="CharStyle26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E5E5E"/>
      <w:sz w:val="12"/>
      <w:szCs w:val="12"/>
      <w:u w:val="none"/>
    </w:rPr>
  </w:style>
  <w:style w:type="paragraph" w:customStyle="1" w:styleId="Style31">
    <w:name w:val="Основной текст (4)"/>
    <w:basedOn w:val="Normal"/>
    <w:link w:val="CharStyle32"/>
    <w:pPr>
      <w:widowControl w:val="0"/>
      <w:shd w:val="clear" w:color="auto" w:fill="auto"/>
      <w:spacing w:after="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header" Target="header4.xml"/><Relationship Id="rId14" Type="http://schemas.openxmlformats.org/officeDocument/2006/relationships/footer" Target="footer4.xml"/><Relationship Id="rId15" Type="http://schemas.openxmlformats.org/officeDocument/2006/relationships/header" Target="header5.xml"/><Relationship Id="rId16" Type="http://schemas.openxmlformats.org/officeDocument/2006/relationships/footer" Target="footer5.xml"/><Relationship Id="rId17" Type="http://schemas.openxmlformats.org/officeDocument/2006/relationships/header" Target="header6.xml"/><Relationship Id="rId18" Type="http://schemas.openxmlformats.org/officeDocument/2006/relationships/footer" Target="footer6.xml"/><Relationship Id="rId19" Type="http://schemas.openxmlformats.org/officeDocument/2006/relationships/header" Target="header7.xml"/><Relationship Id="rId20" Type="http://schemas.openxmlformats.org/officeDocument/2006/relationships/footer" Target="footer7.xml"/><Relationship Id="rId21" Type="http://schemas.openxmlformats.org/officeDocument/2006/relationships/header" Target="header8.xml"/><Relationship Id="rId22" Type="http://schemas.openxmlformats.org/officeDocument/2006/relationships/footer" Target="footer8.xml"/><Relationship Id="rId23" Type="http://schemas.openxmlformats.org/officeDocument/2006/relationships/header" Target="header9.xml"/><Relationship Id="rId24" Type="http://schemas.openxmlformats.org/officeDocument/2006/relationships/footer" Target="footer9.xml"/><Relationship Id="rId25" Type="http://schemas.openxmlformats.org/officeDocument/2006/relationships/image" Target="media/image2.jpeg"/><Relationship Id="rId26" Type="http://schemas.openxmlformats.org/officeDocument/2006/relationships/image" Target="media/image2.jpeg" TargetMode="External"/><Relationship Id="rId27" Type="http://schemas.openxmlformats.org/officeDocument/2006/relationships/image" Target="media/image3.jpeg"/><Relationship Id="rId28" Type="http://schemas.openxmlformats.org/officeDocument/2006/relationships/image" Target="media/image3.jpeg" TargetMode="External"/><Relationship Id="rId29" Type="http://schemas.openxmlformats.org/officeDocument/2006/relationships/image" Target="media/image4.jpeg"/><Relationship Id="rId30" Type="http://schemas.openxmlformats.org/officeDocument/2006/relationships/image" Target="media/image4.jpeg" TargetMode="External"/></Relationships>
</file>