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1779270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819150</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54221/23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5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54221/23</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ГБУ «МДН»</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дЪит4п@ге1а1топ.то8.ги</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ООО «Артокс»</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тГо@аг1ок8.пе1:</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ИП Марьинский К.А.</w:t>
      </w:r>
    </w:p>
    <w:p>
      <w:pPr>
        <w:pStyle w:val="Style6"/>
        <w:keepNext w:val="0"/>
        <w:keepLines w:val="0"/>
        <w:widowControl w:val="0"/>
        <w:shd w:val="clear" w:color="auto" w:fill="auto"/>
        <w:bidi w:val="0"/>
        <w:spacing w:before="0" w:after="820" w:line="240" w:lineRule="auto"/>
        <w:ind w:left="5320" w:right="0" w:firstLine="0"/>
        <w:jc w:val="left"/>
      </w:pPr>
      <w:r>
        <w:rPr>
          <w:color w:val="000000"/>
          <w:spacing w:val="0"/>
          <w:w w:val="100"/>
          <w:position w:val="0"/>
          <w:shd w:val="clear" w:color="auto" w:fill="auto"/>
          <w:lang w:val="ru-RU" w:eastAsia="ru-RU" w:bidi="ru-RU"/>
        </w:rPr>
        <w:t>6тГо@рготепа4.т8к.ги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ОПРЕДЕЛЕНИЕ</w:t>
      </w:r>
    </w:p>
    <w:p>
      <w:pPr>
        <w:pStyle w:val="Style6"/>
        <w:keepNext w:val="0"/>
        <w:keepLines w:val="0"/>
        <w:widowControl w:val="0"/>
        <w:shd w:val="clear" w:color="auto" w:fill="auto"/>
        <w:bidi w:val="0"/>
        <w:spacing w:before="0" w:after="360" w:line="240" w:lineRule="auto"/>
        <w:ind w:left="0" w:right="0" w:firstLine="0"/>
        <w:jc w:val="center"/>
      </w:pPr>
      <w:r>
        <w:rPr>
          <w:b/>
          <w:bCs/>
          <w:color w:val="000000"/>
          <w:spacing w:val="0"/>
          <w:w w:val="100"/>
          <w:position w:val="0"/>
          <w:shd w:val="clear" w:color="auto" w:fill="auto"/>
          <w:lang w:val="ru-RU" w:eastAsia="ru-RU" w:bidi="ru-RU"/>
        </w:rPr>
        <w:t>об исправлении допущенной технической ошибки в Решении</w:t>
        <w:br/>
        <w:t>по делу № 077/06/106-17468/2023 о нарушении</w:t>
        <w:br/>
        <w:t>законодательства о контрактной системе</w:t>
      </w:r>
    </w:p>
    <w:p>
      <w:pPr>
        <w:pStyle w:val="Style14"/>
        <w:keepNext/>
        <w:keepLines/>
        <w:widowControl w:val="0"/>
        <w:shd w:val="clear" w:color="auto" w:fill="auto"/>
        <w:tabs>
          <w:tab w:pos="8957" w:val="left"/>
        </w:tabs>
        <w:bidi w:val="0"/>
        <w:spacing w:before="0" w:after="60" w:line="240" w:lineRule="auto"/>
        <w:ind w:left="0" w:right="0" w:firstLine="0"/>
        <w:jc w:val="both"/>
      </w:pPr>
      <w:bookmarkStart w:id="0" w:name="bookmark0"/>
      <w:r>
        <w:rPr>
          <w:color w:val="000000"/>
          <w:spacing w:val="0"/>
          <w:w w:val="100"/>
          <w:position w:val="0"/>
          <w:shd w:val="clear" w:color="auto" w:fill="auto"/>
          <w:lang w:val="ru-RU" w:eastAsia="ru-RU" w:bidi="ru-RU"/>
        </w:rPr>
        <w:t>19.12.2023</w:t>
        <w:tab/>
        <w:t>г. Москва</w:t>
      </w:r>
      <w:bookmarkEnd w:id="0"/>
    </w:p>
    <w:p>
      <w:pPr>
        <w:pStyle w:val="Style6"/>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180" w:line="240" w:lineRule="auto"/>
        <w:ind w:left="0" w:right="0" w:firstLine="540"/>
        <w:jc w:val="both"/>
      </w:pPr>
      <w:r>
        <w:rPr>
          <w:color w:val="000000"/>
          <w:spacing w:val="0"/>
          <w:w w:val="100"/>
          <w:position w:val="0"/>
          <w:shd w:val="clear" w:color="auto" w:fill="auto"/>
          <w:lang w:val="ru-RU" w:eastAsia="ru-RU" w:bidi="ru-RU"/>
        </w:rPr>
        <w:t>Ведущего специалиста — эксперта отдела обжалования государственных закупок Э.З. Гугава,</w:t>
      </w:r>
    </w:p>
    <w:p>
      <w:pPr>
        <w:pStyle w:val="Style14"/>
        <w:keepNext/>
        <w:keepLines/>
        <w:widowControl w:val="0"/>
        <w:shd w:val="clear" w:color="auto" w:fill="auto"/>
        <w:bidi w:val="0"/>
        <w:spacing w:before="0" w:after="6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При изготовлении Решения по делу № 077/06/106-17468/2023 от 14.12.2023 о нарушении законодательства о контрактной системе (далее — Решение) допущена техническая ошибка.</w:t>
      </w:r>
    </w:p>
    <w:p>
      <w:pPr>
        <w:pStyle w:val="Style6"/>
        <w:keepNext w:val="0"/>
        <w:keepLines w:val="0"/>
        <w:widowControl w:val="0"/>
        <w:shd w:val="clear" w:color="auto" w:fill="auto"/>
        <w:bidi w:val="0"/>
        <w:spacing w:before="0" w:after="960" w:line="240" w:lineRule="auto"/>
        <w:ind w:left="0" w:right="0" w:firstLine="500"/>
        <w:jc w:val="left"/>
      </w:pPr>
      <w:r>
        <w:rPr>
          <w:color w:val="000000"/>
          <w:spacing w:val="0"/>
          <w:w w:val="100"/>
          <w:position w:val="0"/>
          <w:shd w:val="clear" w:color="auto" w:fill="auto"/>
          <w:lang w:val="ru-RU" w:eastAsia="ru-RU" w:bidi="ru-RU"/>
        </w:rPr>
        <w:t>На основании изложенного Комиссия Управления</w:t>
      </w:r>
    </w:p>
    <w:p>
      <w:pPr>
        <w:pStyle w:val="Style14"/>
        <w:keepNext/>
        <w:keepLines/>
        <w:widowControl w:val="0"/>
        <w:shd w:val="clear" w:color="auto" w:fill="auto"/>
        <w:bidi w:val="0"/>
        <w:spacing w:before="0" w:after="180" w:line="240" w:lineRule="auto"/>
        <w:ind w:left="0" w:right="0" w:firstLine="0"/>
        <w:jc w:val="center"/>
      </w:pPr>
      <w:bookmarkStart w:id="4" w:name="bookmark4"/>
      <w:r>
        <w:rPr>
          <w:color w:val="000000"/>
          <w:spacing w:val="0"/>
          <w:w w:val="100"/>
          <w:position w:val="0"/>
          <w:shd w:val="clear" w:color="auto" w:fill="auto"/>
          <w:lang w:val="ru-RU" w:eastAsia="ru-RU" w:bidi="ru-RU"/>
        </w:rPr>
        <w:t>ОПРЕДЕЛИЛА:</w:t>
      </w:r>
      <w:bookmarkEnd w:id="4"/>
    </w:p>
    <w:p>
      <w:pPr>
        <w:pStyle w:val="Style6"/>
        <w:keepNext w:val="0"/>
        <w:keepLines w:val="0"/>
        <w:widowControl w:val="0"/>
        <w:shd w:val="clear" w:color="auto" w:fill="auto"/>
        <w:bidi w:val="0"/>
        <w:spacing w:before="0" w:after="440" w:line="240" w:lineRule="auto"/>
        <w:ind w:left="0" w:right="0" w:firstLine="540"/>
        <w:jc w:val="both"/>
      </w:pPr>
      <w:r>
        <w:rPr>
          <w:color w:val="000000"/>
          <w:spacing w:val="0"/>
          <w:w w:val="100"/>
          <w:position w:val="0"/>
          <w:shd w:val="clear" w:color="auto" w:fill="auto"/>
          <w:lang w:val="ru-RU" w:eastAsia="ru-RU" w:bidi="ru-RU"/>
        </w:rPr>
        <w:t>Исправить техническую ошибку, допущенную при составлении Решения, а именно:</w:t>
      </w:r>
    </w:p>
    <w:p>
      <w:pPr>
        <w:pStyle w:val="Style16"/>
        <w:keepNext/>
        <w:keepLines/>
        <w:widowControl w:val="0"/>
        <w:shd w:val="clear" w:color="auto" w:fill="auto"/>
        <w:bidi w:val="0"/>
        <w:spacing w:before="0" w:line="240" w:lineRule="auto"/>
        <w:ind w:left="0" w:right="0"/>
        <w:jc w:val="both"/>
      </w:pPr>
      <w:bookmarkStart w:id="6" w:name="bookmark6"/>
      <w:r>
        <w:rPr>
          <w:color w:val="000000"/>
          <w:spacing w:val="0"/>
          <w:w w:val="100"/>
          <w:position w:val="0"/>
          <w:shd w:val="clear" w:color="auto" w:fill="auto"/>
          <w:lang w:val="ru-RU" w:eastAsia="ru-RU" w:bidi="ru-RU"/>
        </w:rPr>
        <w:t>||||||||||||||||||||||||||||</w:t>
      </w:r>
      <w:bookmarkEnd w:id="6"/>
    </w:p>
    <w:p>
      <w:pPr>
        <w:pStyle w:val="Style6"/>
        <w:keepNext w:val="0"/>
        <w:keepLines w:val="0"/>
        <w:widowControl w:val="0"/>
        <w:shd w:val="clear" w:color="auto" w:fill="auto"/>
        <w:tabs>
          <w:tab w:pos="402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w:t>
        <w:tab/>
      </w: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077/06/106-17468/2023 о нарушении</w:t>
        <w:br/>
        <w:t>законодательства о контрактной системе</w:t>
        <w:br/>
        <w:t>14.12.2023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 — 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 «МДН»: А.В. Короткова (по дов.№48 от 12.12.2023), К.А. Курденкова (по дов. № 49 от 12.12.2023),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Марьинский К.А., ООО «Артокс»,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ООО «Артокс» (далее — Заявитель) на действия ГБУ «МДН» (далее — Заказчик) при проведении открытого конкурса в электронной форме на право заключения государственного контракта на оказание услуг по подготовке, организации и проведению мероприятий в рамках проекта: «Молодежный межнациональный фестиваль «Разноцветная Москва» (Закупка № 0373200106423000031)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hd w:val="clear" w:color="auto" w:fill="auto"/>
          <w:lang w:val="ru-RU" w:eastAsia="ru-RU" w:bidi="ru-RU"/>
        </w:rPr>
        <w:t>УСТАНОВЛЕНО:</w:t>
      </w:r>
      <w:bookmarkEnd w:id="8"/>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неправомерной оценке заявки ИП Марьинский К.А., а также неправомерном признании такой заявки соответствующей требованиям извещения об осуществлении закупки и Закона о контрактной системе.</w:t>
      </w:r>
    </w:p>
    <w:p>
      <w:pPr>
        <w:pStyle w:val="Style6"/>
        <w:keepNext w:val="0"/>
        <w:keepLines w:val="0"/>
        <w:widowControl w:val="0"/>
        <w:shd w:val="clear" w:color="auto" w:fill="auto"/>
        <w:bidi w:val="0"/>
        <w:spacing w:before="0" w:after="0" w:line="276" w:lineRule="auto"/>
        <w:ind w:left="0" w:right="0" w:firstLine="720"/>
        <w:jc w:val="both"/>
        <w:rPr>
          <w:sz w:val="22"/>
          <w:szCs w:val="22"/>
        </w:rPr>
      </w:pPr>
      <w:r>
        <w:rPr>
          <w:color w:val="000000"/>
          <w:spacing w:val="0"/>
          <w:w w:val="100"/>
          <w:position w:val="0"/>
          <w:sz w:val="28"/>
          <w:szCs w:val="28"/>
          <w:shd w:val="clear" w:color="auto" w:fill="auto"/>
          <w:lang w:val="ru-RU" w:eastAsia="ru-RU" w:bidi="ru-RU"/>
        </w:rPr>
        <w:t xml:space="preserve">Согласно протоколу подведения итогов определения поставщика (подрядчика, исполнителя) от 07.12.2023 №ИЭОК1 заявка ИП Марьинский К.А. признана соответствующей комиссией Заказчика, данный участник является победителем. </w:t>
      </w:r>
      <w:r>
        <w:rPr>
          <w:rFonts w:ascii="Cambria" w:eastAsia="Cambria" w:hAnsi="Cambria" w:cs="Cambria"/>
          <w:color w:val="000000"/>
          <w:spacing w:val="0"/>
          <w:w w:val="100"/>
          <w:position w:val="0"/>
          <w:sz w:val="22"/>
          <w:szCs w:val="22"/>
          <w:shd w:val="clear" w:color="auto" w:fill="auto"/>
          <w:lang w:val="ru-RU" w:eastAsia="ru-RU" w:bidi="ru-RU"/>
        </w:rPr>
        <w:t>2023-61777</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извещениями об осуществлении закупок оценка заявок производится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6"/>
        <w:keepNext w:val="0"/>
        <w:keepLines w:val="0"/>
        <w:widowControl w:val="0"/>
        <w:shd w:val="clear" w:color="auto" w:fill="auto"/>
        <w:bidi w:val="0"/>
        <w:spacing w:before="0" w:after="0" w:line="264"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w:t>
      </w:r>
      <w:r>
        <w:rPr>
          <w:rFonts w:ascii="Cambria" w:eastAsia="Cambria" w:hAnsi="Cambria" w:cs="Cambria"/>
          <w:color w:val="000000"/>
          <w:spacing w:val="0"/>
          <w:w w:val="100"/>
          <w:position w:val="0"/>
          <w:sz w:val="22"/>
          <w:szCs w:val="22"/>
          <w:shd w:val="clear" w:color="auto" w:fill="auto"/>
          <w:lang w:val="ru-RU" w:eastAsia="ru-RU" w:bidi="ru-RU"/>
        </w:rPr>
        <w:t>2023-61777</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3"/>
        </w:numPr>
        <w:shd w:val="clear" w:color="auto" w:fill="auto"/>
        <w:tabs>
          <w:tab w:pos="11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3"/>
        </w:numPr>
        <w:shd w:val="clear" w:color="auto" w:fill="auto"/>
        <w:tabs>
          <w:tab w:pos="108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3"/>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3"/>
        </w:numPr>
        <w:shd w:val="clear" w:color="auto" w:fill="auto"/>
        <w:tabs>
          <w:tab w:pos="10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3"/>
        </w:numPr>
        <w:shd w:val="clear" w:color="auto" w:fill="auto"/>
        <w:tabs>
          <w:tab w:pos="108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п.25 Положения для оценки заявок по показателям оценки, предусмотренным пунктом 24 Положения, применяются детализирующие показатели.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 «а» п.28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согласно извещению об осуществлении закупки Заказчиком установлен, в том числе следующий порядок оценки заявок по детализирующему показателю «Наибольшая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Оценивается предложение участника о наибольшей цене одного из исполненных участником закупки контрактов (договоров) за последние 5 лет, предшествующие дате окончания срока подачи заявок на участие в настоящем конкурсе (наибольший объем выполненных работ (оказанных услуг) одного из исполненных участником закупки контрактов (договоров), исчисляемый в рублях, связанных с предметом контракта, заключаемого по результатам проведения закупки).</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постановлением Правительства Российской Федерации от 31.12.2021 № 2604, должен быть подписан не ранее чем за 5 лет до даты окончания срока подачи заявок.</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 оценке принимается исключительно исполненный договор,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Под работами, связанными с предметом контракта, понимаются работы по организации и проведению культурно-массовых мероприятий (культурной, культурно-спортивной, патриотической направленности) и иных мероприятий.</w:t>
      </w:r>
    </w:p>
    <w:p>
      <w:pPr>
        <w:pStyle w:val="Style6"/>
        <w:keepNext w:val="0"/>
        <w:keepLines w:val="0"/>
        <w:widowControl w:val="0"/>
        <w:shd w:val="clear" w:color="auto" w:fill="auto"/>
        <w:bidi w:val="0"/>
        <w:spacing w:before="0" w:after="0" w:line="300" w:lineRule="auto"/>
        <w:ind w:left="0" w:right="0" w:firstLine="700"/>
        <w:jc w:val="both"/>
        <w:rPr>
          <w:sz w:val="22"/>
          <w:szCs w:val="22"/>
        </w:rPr>
      </w:pPr>
      <w:r>
        <w:rPr>
          <w:i/>
          <w:iCs/>
          <w:color w:val="000000"/>
          <w:spacing w:val="0"/>
          <w:w w:val="100"/>
          <w:position w:val="0"/>
          <w:sz w:val="28"/>
          <w:szCs w:val="28"/>
          <w:shd w:val="clear" w:color="auto" w:fill="auto"/>
          <w:lang w:val="ru-RU" w:eastAsia="ru-RU" w:bidi="ru-RU"/>
        </w:rPr>
        <w:t xml:space="preserve">К оценке принимаются исполненные участником закупки с учетом правопреемства (в случае наличия в заявке подтверждающего документа) </w:t>
      </w:r>
      <w:r>
        <w:rPr>
          <w:rFonts w:ascii="Cambria" w:eastAsia="Cambria" w:hAnsi="Cambria" w:cs="Cambria"/>
          <w:color w:val="000000"/>
          <w:spacing w:val="0"/>
          <w:w w:val="100"/>
          <w:position w:val="0"/>
          <w:sz w:val="22"/>
          <w:szCs w:val="22"/>
          <w:shd w:val="clear" w:color="auto" w:fill="auto"/>
          <w:lang w:val="ru-RU" w:eastAsia="ru-RU" w:bidi="ru-RU"/>
        </w:rPr>
        <w:t>2023-61777</w:t>
      </w:r>
    </w:p>
    <w:p>
      <w:pPr>
        <w:pStyle w:val="Style6"/>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гражданско-правовые договоры, в том числе заключенные и исполненные в соответствии с Федеральным законом от 05.04.2013 № 44-ФЗ.</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 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В случае если контракты (договоры) заключены в электронной форме, опыт может быть подтвержден размещенными на сайте Единой информационной системы в сфере закупок 2С1к11рк1.д()\\ги «Информацией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участников закупки опыта работы, связанного с предметом контракта»</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содержащей данные о реестровом номере закупки, номере контракта (договора), дате заключения, предмете, сумме контракта (договора), дате исполнения контракта (договора).</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Рекомендуемая форма «Сводные сведения о наличии у участников закупки опыта работы, связанного с предметом контракта» приведена в Приложении 1 к настоящим критериям оценки заявок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Непредоставление в составе второй части заявки на участие в открытом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открытом конкурсе либо информацией, размещенной на сайте Единой информационной системы в сфере закупок 2С1к11рк1.д()\\ги».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составе жалобы Заявитель указывает, что согласно установленному порядку оценки и рассмотрения заявок по критерию «Квалификация» (Опыт участника по успешному выполнению работ, оказанию услуг сопоставимого характера и объема) заявка оценивается по показателю </w:t>
      </w:r>
      <w:r>
        <w:rPr>
          <w:b/>
          <w:bCs/>
          <w:color w:val="000000"/>
          <w:spacing w:val="0"/>
          <w:w w:val="100"/>
          <w:position w:val="0"/>
          <w:shd w:val="clear" w:color="auto" w:fill="auto"/>
          <w:lang w:val="ru-RU" w:eastAsia="ru-RU" w:bidi="ru-RU"/>
        </w:rPr>
        <w:t>«Общая цена исполненных участником закупки договоров»</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Заявитель указывает, что заявке ИП Марьинский К.А. по данному показателю присвоено максимальное количество баллов, при этом данный участник по данным из реестра контрактов имеет опыт на общую сумму 262 988 242,00 рублей, что в разы меньше исполненных контрактов Заявителем.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в жалобе также отмечает, что есть основания полагать о том, что представленный договор является сфальсифицированным, ввиду чего такая заявка подлежала отклонению.</w:t>
      </w:r>
    </w:p>
    <w:p>
      <w:pPr>
        <w:pStyle w:val="Style6"/>
        <w:keepNext w:val="0"/>
        <w:keepLines w:val="0"/>
        <w:widowControl w:val="0"/>
        <w:shd w:val="clear" w:color="auto" w:fill="auto"/>
        <w:bidi w:val="0"/>
        <w:spacing w:before="0" w:after="0" w:line="276" w:lineRule="auto"/>
        <w:ind w:left="0" w:right="0" w:firstLine="700"/>
        <w:jc w:val="both"/>
        <w:rPr>
          <w:sz w:val="22"/>
          <w:szCs w:val="22"/>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18" w:right="542" w:bottom="692" w:left="1096"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w:t>
      </w:r>
      <w:r>
        <w:rPr>
          <w:rFonts w:ascii="Cambria" w:eastAsia="Cambria" w:hAnsi="Cambria" w:cs="Cambria"/>
          <w:color w:val="000000"/>
          <w:spacing w:val="0"/>
          <w:w w:val="100"/>
          <w:position w:val="0"/>
          <w:sz w:val="22"/>
          <w:szCs w:val="22"/>
          <w:shd w:val="clear" w:color="auto" w:fill="auto"/>
          <w:lang w:val="ru-RU" w:eastAsia="ru-RU" w:bidi="ru-RU"/>
        </w:rPr>
        <w:t>2023-61777</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доводами жалобы представитель Заказчика пояснил, что рассмотрение и оценка заявок на участие в конкурсе осуществлялась в соответствии с нормами Закона о контрактной системе и установленным в извещении об осуществлении закупки порядком оценки.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 согласно установленному порядку оценки, Заказчиком использован детализирующий показатель </w:t>
      </w:r>
      <w:r>
        <w:rPr>
          <w:b/>
          <w:bCs/>
          <w:color w:val="000000"/>
          <w:spacing w:val="0"/>
          <w:w w:val="100"/>
          <w:position w:val="0"/>
          <w:shd w:val="clear" w:color="auto" w:fill="auto"/>
          <w:lang w:val="ru-RU" w:eastAsia="ru-RU" w:bidi="ru-RU"/>
        </w:rPr>
        <w:t>«Наибольшая цена одного из исполненных участником закупки договоров»</w:t>
      </w:r>
      <w:r>
        <w:rPr>
          <w:color w:val="000000"/>
          <w:spacing w:val="0"/>
          <w:w w:val="100"/>
          <w:position w:val="0"/>
          <w:shd w:val="clear" w:color="auto" w:fill="auto"/>
          <w:lang w:val="ru-RU" w:eastAsia="ru-RU" w:bidi="ru-RU"/>
        </w:rPr>
        <w:t>, согласно описанию которого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заявки ИП Марьинский К.А. представлены сведения в отношении гражданско-правового договора №168/23/К от 30.05.2023 на сумму 230 945 800,00 рублей), заключенного в рамках гражданского законодательства, что отвечает требованиям порядка оценки и не противоречит требованиям законодательства о контрактной системе. Основания полагать, что представленный договор несет в себе недостоверную информацию у комиссии Заказчика отсутствовали.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принимая во внимание пояснения Заказчика, установлено, что комиссией по осуществлению закупок согласно порядку оценки рассмотрена не общая цена исполненных участником закупки договоров, а цена одного из исполненных таким участником закупки договоров.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в заявке ИП Марьинский К.А. наибольшая цена одного из исполненных участником закупки договоров составляет 230 945 800,00 руб, в то время как в заявке Заявителя представлен договор с максимальной стоимостью равной 13 722 340,00 руб., ввиду чего Комиссия Управления приходит к выводу о том, что комиссией Заказчика соблюден порядок рассмотрения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считает также необходимым отметить, что под недостоверными сведениями следует понимать сведения, не соответствующие действительно 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 Кроме того, предоставленное заказчику право отклонить поданную заявку в случае обнаружения в ней недостоверных сведений на любом этапе проведения процедуры свидетельствует о том, что располагать такой информацией заказчик должен непосредственно на момент принятия соответствующего решения (отказ в допуске либо отказ от заключения договора), </w:t>
      </w:r>
      <w:r>
        <w:rPr>
          <w:i/>
          <w:iCs/>
          <w:color w:val="000000"/>
          <w:spacing w:val="0"/>
          <w:w w:val="100"/>
          <w:position w:val="0"/>
          <w:shd w:val="clear" w:color="auto" w:fill="auto"/>
          <w:lang w:val="ru-RU" w:eastAsia="ru-RU" w:bidi="ru-RU"/>
        </w:rPr>
        <w:t>причем располагать именно доказательствами такой недостоверности, но не руководствоваться предположениями.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Таким образом, как следует из материалов дела, поданная ИП Марьинский К.А. заявка требованиям извещения об осуществлении закупки </w:t>
      </w:r>
      <w:r>
        <w:rPr>
          <w:color w:val="000000"/>
          <w:spacing w:val="0"/>
          <w:w w:val="100"/>
          <w:position w:val="0"/>
          <w:shd w:val="clear" w:color="auto" w:fill="auto"/>
          <w:lang w:val="ru-RU" w:eastAsia="ru-RU" w:bidi="ru-RU"/>
        </w:rPr>
        <w:t>соответствует.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целях соблюдения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и принципа стабильности публичных правоотношений, но также и принципов добросовестной реализации прав и законных интересов (ч. 3 ст. 1 ГК РФ), недопустимости извлечения преимуществ из своего незаконного или недобросовестного поведения (ч. 4 ст. 1 ГК РФ), недопустимости злоупотребления правом (ч. 1 ст. 10 ГК РФ)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как следует из материалов дела в настоящем случае, такого подтверждения в материалы дела представлено не было, а потому и правовых оснований к отклонению заявки участника у комиссии Заказчика не имелось, вопреки утверждению Заявителя об обратном.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на основании вышеизложенного Комиссия Управления приходит к выводу, что доводы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hd w:val="clear" w:color="auto" w:fill="auto"/>
          <w:lang w:val="ru-RU" w:eastAsia="ru-RU" w:bidi="ru-RU"/>
        </w:rPr>
        <w:t>РЕШИЛА:</w:t>
      </w:r>
      <w:bookmarkEnd w:id="10"/>
    </w:p>
    <w:p>
      <w:pPr>
        <w:pStyle w:val="Style6"/>
        <w:keepNext w:val="0"/>
        <w:keepLines w:val="0"/>
        <w:widowControl w:val="0"/>
        <w:numPr>
          <w:ilvl w:val="0"/>
          <w:numId w:val="5"/>
        </w:numPr>
        <w:shd w:val="clear" w:color="auto" w:fill="auto"/>
        <w:tabs>
          <w:tab w:pos="1117" w:val="left"/>
        </w:tabs>
        <w:bidi w:val="0"/>
        <w:spacing w:before="0" w:after="0" w:line="240" w:lineRule="auto"/>
        <w:ind w:left="0" w:right="0" w:firstLine="840"/>
        <w:jc w:val="both"/>
      </w:pPr>
      <w:r>
        <w:rPr>
          <w:color w:val="000000"/>
          <w:spacing w:val="0"/>
          <w:w w:val="100"/>
          <w:position w:val="0"/>
          <w:shd w:val="clear" w:color="auto" w:fill="auto"/>
          <w:lang w:val="ru-RU" w:eastAsia="ru-RU" w:bidi="ru-RU"/>
        </w:rPr>
        <w:t>.Признать жалобу ООО «Артокс» на действия комиссии ГБУ «МДН» необоснованной.</w:t>
      </w:r>
    </w:p>
    <w:p>
      <w:pPr>
        <w:pStyle w:val="Style6"/>
        <w:keepNext w:val="0"/>
        <w:keepLines w:val="0"/>
        <w:widowControl w:val="0"/>
        <w:numPr>
          <w:ilvl w:val="0"/>
          <w:numId w:val="5"/>
        </w:numPr>
        <w:shd w:val="clear" w:color="auto" w:fill="auto"/>
        <w:tabs>
          <w:tab w:pos="1136" w:val="left"/>
        </w:tabs>
        <w:bidi w:val="0"/>
        <w:spacing w:before="0" w:after="280" w:line="240" w:lineRule="auto"/>
        <w:ind w:left="0" w:right="0" w:firstLine="84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24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ru-RU" w:eastAsia="ru-RU" w:bidi="ru-RU"/>
        </w:rPr>
        <w:t>читать как:</w:t>
      </w:r>
    </w:p>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w:t>
      </w: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1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077/06/106-17468/2023 о нарушении</w:t>
        <w:br/>
        <w:t>законодательства о контрактной системе</w:t>
        <w:br/>
        <w:t>14.12.2023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240" w:line="240" w:lineRule="auto"/>
        <w:ind w:left="0" w:right="0" w:firstLine="58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Ведущего специалиста — 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ГБУ «МДН»: А.В. Короткова (по дов.№48 от 12.12.2023), К.А. Курденкова (по дов. № 49 от 12.12.2023),</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отсутствие представителей ООО «Артокс», ИП Марьинский К.А.,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рассмотрев жалобу ИП Марьинский К.А. (далее — Заявитель) на действия ГБУ «МДН» (далее — Заказчик) при проведении открытого конкурса в электронной форме на право заключения государственного контракта на оказание услуг по подготовке, организации и проведению мероприятий в рамках проекта: «Молодежный межнациональный фестиваль «Разноцветная Москва» (Закупка № 0373200106423000031)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hd w:val="clear" w:color="auto" w:fill="auto"/>
          <w:lang w:val="ru-RU" w:eastAsia="ru-RU" w:bidi="ru-RU"/>
        </w:rPr>
        <w:t>УСТАНОВЛЕНО:</w:t>
      </w:r>
      <w:bookmarkEnd w:id="12"/>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неправомерной оценке заявки ООО «Артокс», а также неправомерном признании такой заявки соответствующей требованиям извещения об осуществлении закупки и Закона о контрактной системе.</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07.12.2023 №ИЭОК1 заявка ООО «Артокс» признана соответствующей комиссией Заказчика, данный участник является победителем.</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keepNext w:val="0"/>
        <w:keepLines w:val="0"/>
        <w:widowControl w:val="0"/>
        <w:numPr>
          <w:ilvl w:val="0"/>
          <w:numId w:val="7"/>
        </w:numPr>
        <w:shd w:val="clear" w:color="auto" w:fill="auto"/>
        <w:tabs>
          <w:tab w:pos="96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цена контракта;</w:t>
      </w:r>
    </w:p>
    <w:p>
      <w:pPr>
        <w:pStyle w:val="Style6"/>
        <w:keepNext w:val="0"/>
        <w:keepLines w:val="0"/>
        <w:widowControl w:val="0"/>
        <w:numPr>
          <w:ilvl w:val="0"/>
          <w:numId w:val="7"/>
        </w:numPr>
        <w:shd w:val="clear" w:color="auto" w:fill="auto"/>
        <w:tabs>
          <w:tab w:pos="98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7"/>
        </w:numPr>
        <w:shd w:val="clear" w:color="auto" w:fill="auto"/>
        <w:tabs>
          <w:tab w:pos="98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7"/>
        </w:numPr>
        <w:shd w:val="clear" w:color="auto" w:fill="auto"/>
        <w:tabs>
          <w:tab w:pos="93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извещениями об осуществлении закупок оценка заявок производится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9"/>
        </w:numPr>
        <w:shd w:val="clear" w:color="auto" w:fill="auto"/>
        <w:tabs>
          <w:tab w:pos="93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9"/>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9"/>
        </w:numPr>
        <w:shd w:val="clear" w:color="auto" w:fill="auto"/>
        <w:tabs>
          <w:tab w:pos="96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9"/>
        </w:numPr>
        <w:shd w:val="clear" w:color="auto" w:fill="auto"/>
        <w:tabs>
          <w:tab w:pos="98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9"/>
        </w:numPr>
        <w:shd w:val="clear" w:color="auto" w:fill="auto"/>
        <w:tabs>
          <w:tab w:pos="97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п.25 Положения для оценки заявок по показателям оценки, предусмотренным пунктом 24 Положения, применяются детализирующие показатели.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пп. «а» п.28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Комиссией Управления определено, что согласно извещению об осуществлении закупки Заказчиком установлен, в том числе следующий порядок оценки заявок по детализирующему показателю «Наибольшая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«Оценивается предложение участника о наибольшей цене одного из исполненных участником закупки контрактов (договоров) за последние 5 лет, предшествующие дате окончания срока подачи заявок на участие в настоящем конкурсе (наибольший объем выполненных работ (оказанных услуг) одного из исполненных участником закупки контрактов (договоров), исчисляемый в рублях, связанных с предметом контракта, заключаемого по результатам проведения закупки).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постановлением Правительства Российской Федерации от 31.12.2021 № 2604, должен быть подписан не ранее чем за 5 лет до даты окончания срока подачи заявок.</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 оценке принимается исключительно исполненный договор,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Под работами, связанными с предметом контракта, понимаются работы по организации и проведению культурно-массовых мероприятий (культурной, культурно-спортивной, патриотической направленности) и иных мероприятий.</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от 05.04.2013 № 44-ФЗ.</w:t>
      </w:r>
    </w:p>
    <w:p>
      <w:pPr>
        <w:pStyle w:val="Style6"/>
        <w:keepNext w:val="0"/>
        <w:keepLines w:val="0"/>
        <w:widowControl w:val="0"/>
        <w:shd w:val="clear" w:color="auto" w:fill="auto"/>
        <w:bidi w:val="0"/>
        <w:spacing w:before="0" w:after="0" w:line="240" w:lineRule="auto"/>
        <w:ind w:left="0" w:right="0" w:firstLine="600"/>
        <w:jc w:val="both"/>
        <w:sectPr>
          <w:headerReference w:type="default" r:id="rId11"/>
          <w:footerReference w:type="default" r:id="rId12"/>
          <w:footnotePr>
            <w:pos w:val="pageBottom"/>
            <w:numFmt w:val="decimal"/>
            <w:numRestart w:val="continuous"/>
          </w:footnotePr>
          <w:pgSz w:w="11900" w:h="16840"/>
          <w:pgMar w:top="1162" w:right="546" w:bottom="1114" w:left="1101" w:header="0" w:footer="3" w:gutter="0"/>
          <w:cols w:space="720"/>
          <w:noEndnote/>
          <w:rtlGutter w:val="0"/>
          <w:docGrid w:linePitch="360"/>
        </w:sectPr>
      </w:pPr>
      <w:r>
        <w:rPr>
          <w:color w:val="000000"/>
          <w:spacing w:val="0"/>
          <w:w w:val="100"/>
          <w:position w:val="0"/>
          <w:shd w:val="clear" w:color="auto" w:fill="auto"/>
          <w:lang w:val="ru-RU" w:eastAsia="ru-RU" w:bidi="ru-RU"/>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 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случае если контракты (договоры) заключены в электронной форме, опыт может быть подтвержден размещенными на сайте Единой информационной системы в сфере закупок /акиркгдоу.ги «Информацией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участников закупки опыта работы, связанного с предметом контракта»</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содержащей данные о реестровом номере закупки, номере контракта (договора), дате заключения, предмете, сумме контракта (договора), дате исполнения контракта (договора).</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Рекомендуемая форма «Сводные сведения о наличии у участников закупки опыта работы, связанного с предметом контракта» приведена в Приложении 1 к настоящим критериям оценки заявок участников закупки.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Непредоставление в составе второй части заявки на участие в открытом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открытом конкурсе либо информацией, размещенной на сайте Единой информационной системы в сфере закупок /акиркгдоу.ги».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составе жалобы Заявитель указывает, что согласно установленному порядку оценки и рассмотрения заявок по критерию «Квалификация» (Опыт участника по успешному выполнению работ, оказанию услуг сопоставимого характера и объема) заявка оценивается по показателю «Общая цена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Заявитель указывает, что заявке ООО «Артокс» по данному показателю присвоено максимальное количество баллов, при этом данный участник по данным из реестра контрактов имеет опыт на общую сумму 262 988 242,00 рублей, что в разы меньше исполненных контрактов Заявителем.</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в жалобе также отмечает, что есть основания полагать о том, что представленный договор является сфальсифицированным, ввиду чего такая заявка подлежала отклонению.</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Не согласившись с доводами жалобы представитель Заказчика пояснил, что рассмотрение и оценка заявок на участие в конкурсе осуществлялась в соответствии с нормами Закона о контрактной системе и установленным в извещении об осуществлении закупки порядком оценки.</w:t>
      </w:r>
    </w:p>
    <w:p>
      <w:pPr>
        <w:pStyle w:val="Style6"/>
        <w:keepNext w:val="0"/>
        <w:keepLines w:val="0"/>
        <w:widowControl w:val="0"/>
        <w:shd w:val="clear" w:color="auto" w:fill="auto"/>
        <w:bidi w:val="0"/>
        <w:spacing w:before="0" w:after="0" w:line="276" w:lineRule="auto"/>
        <w:ind w:left="0" w:right="0" w:firstLine="580"/>
        <w:jc w:val="both"/>
        <w:rPr>
          <w:sz w:val="22"/>
          <w:szCs w:val="22"/>
        </w:rPr>
        <w:sectPr>
          <w:headerReference w:type="default" r:id="rId13"/>
          <w:footerReference w:type="default" r:id="rId14"/>
          <w:footnotePr>
            <w:pos w:val="pageBottom"/>
            <w:numFmt w:val="decimal"/>
            <w:numRestart w:val="continuous"/>
          </w:footnotePr>
          <w:pgSz w:w="11900" w:h="16840"/>
          <w:pgMar w:top="1162" w:right="550" w:bottom="682" w:left="1106"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 согласно установленному порядку оценки, Заказчиком использован детализирующий показатель «Наибольшая цена одного из исполненных участником закупки договоров», согласно описанию которого к оценке </w:t>
      </w:r>
      <w:r>
        <w:rPr>
          <w:rFonts w:ascii="Cambria" w:eastAsia="Cambria" w:hAnsi="Cambria" w:cs="Cambria"/>
          <w:color w:val="000000"/>
          <w:spacing w:val="0"/>
          <w:w w:val="100"/>
          <w:position w:val="0"/>
          <w:sz w:val="22"/>
          <w:szCs w:val="22"/>
          <w:shd w:val="clear" w:color="auto" w:fill="auto"/>
          <w:lang w:val="ru-RU" w:eastAsia="ru-RU" w:bidi="ru-RU"/>
        </w:rPr>
        <w:t>2023-61777</w:t>
      </w:r>
    </w:p>
    <w:p>
      <w:pPr>
        <w:pStyle w:val="Style6"/>
        <w:keepNext w:val="0"/>
        <w:keepLines w:val="0"/>
        <w:widowControl w:val="0"/>
        <w:shd w:val="clear" w:color="auto" w:fill="auto"/>
        <w:bidi w:val="0"/>
        <w:spacing w:before="180" w:after="0" w:line="240" w:lineRule="auto"/>
        <w:ind w:left="0" w:right="0" w:firstLine="0"/>
        <w:jc w:val="both"/>
      </w:pPr>
      <w:r>
        <w:rPr>
          <w:color w:val="000000"/>
          <w:spacing w:val="0"/>
          <w:w w:val="100"/>
          <w:position w:val="0"/>
          <w:shd w:val="clear" w:color="auto" w:fill="auto"/>
          <w:lang w:val="ru-RU" w:eastAsia="ru-RU" w:bidi="ru-RU"/>
        </w:rPr>
        <w:t>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составе заявки ООО «Артокс» представлены сведения в отношении гражданско-правового договора №168/23/К от 30.05.2023 на сумму 230 945 800,00 рублей), заключенного в рамках гражданского законодательства, что отвечает требованиям порядка оценки и не противоречит требованиям законодательства о контрактной системе. Основания полагать, что представленный договор несет в себе недостоверную информацию у комиссии Заказчика отсутствовали.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Управления, принимая во внимание пояснения Заказчика, установлено, что комиссией по осуществлению закупок согласно порядку оценки рассмотрена не общая цена исполненных участником закупки договоров, а цена одного из исполненных таким участником закупки договоров.</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 в заявке ООО «Артокс» наибольшая цена одного из исполненных участником закупки договоров составляет 230 945 800,00 руб, в то время как в заявке Заявителя представлен договор с максимальной стоимостью равной 13 722 340,00 руб., ввиду чего Комиссия Управления приходит к выводу о том, что комиссией Заказчика соблюден порядок рассмотрения заявок на участие в закупке.</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считает также необходимым отметить, что под недостоверными сведениями следует понимать сведения, не соответствующие действительности.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 Кроме того, предоставленное заказчику право отклонить поданную заявку в случае обнаружения в ней недостоверных сведений на любом этапе проведения процедуры свидетельствует о том, что располагать такой информацией заказчик должен непосредственно на момент принятия соответствующего решения (отказ в допуске либо отказ от заключения договора), причем располагать именно доказательствами такой недостоверности, но не руководствоваться предположениями.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как следует из материалов дела, поданная ООО «Артокс» заявка требованиям извещения об осуществлении закупки соответствует.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целях соблюдения баланса частных и публичных интересов (на необходимость соблюдения которого указал Конституционный Суд Российской</w:t>
        <w:br w:type="page"/>
      </w:r>
      <w:r>
        <w:rPr>
          <w:color w:val="000000"/>
          <w:spacing w:val="0"/>
          <w:w w:val="100"/>
          <w:position w:val="0"/>
          <w:shd w:val="clear" w:color="auto" w:fill="auto"/>
          <w:lang w:val="ru-RU" w:eastAsia="ru-RU" w:bidi="ru-RU"/>
        </w:rPr>
        <w:t>Федерации в постановлении от 29.03.2011 № 2-П) и принципа стабильности публичных правоотношений, но также и принципов добросовестной реализации прав и законных интересов (ч. 3 ст. 1 ГК РФ), недопустимости извлечения преимуществ из своего незаконного или недобросовестного поведения (ч. 4 ст. 1 ГК РФ), недопустимости злоупотребления правом (ч. 1 ст. 10 ГК РФ)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как следует из материалов дела в настоящем случае, такого подтверждения в материалы дела представлено не было, а потому и правовых оснований к отклонению заявки участника у комиссии Заказчика не имелось, вопреки утверждению Заявителя об обратном.</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на основании вышеизложенного Комиссия Управления приходит к выводу, что доводы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6"/>
        <w:keepNext/>
        <w:keepLines/>
        <w:widowControl w:val="0"/>
        <w:shd w:val="clear" w:color="auto" w:fill="auto"/>
        <w:bidi w:val="0"/>
        <w:spacing w:before="0" w:after="0" w:line="240" w:lineRule="auto"/>
        <w:ind w:left="0" w:right="0" w:firstLine="0"/>
        <w:jc w:val="center"/>
      </w:pPr>
      <w:bookmarkStart w:id="14" w:name="bookmark14"/>
      <w:r>
        <w:rPr>
          <w:color w:val="000000"/>
          <w:spacing w:val="0"/>
          <w:w w:val="100"/>
          <w:position w:val="0"/>
          <w:shd w:val="clear" w:color="auto" w:fill="auto"/>
          <w:lang w:val="ru-RU" w:eastAsia="ru-RU" w:bidi="ru-RU"/>
        </w:rPr>
        <w:t>РЕШИЛА:</w:t>
      </w:r>
      <w:bookmarkEnd w:id="14"/>
    </w:p>
    <w:p>
      <w:pPr>
        <w:pStyle w:val="Style6"/>
        <w:keepNext w:val="0"/>
        <w:keepLines w:val="0"/>
        <w:widowControl w:val="0"/>
        <w:numPr>
          <w:ilvl w:val="0"/>
          <w:numId w:val="11"/>
        </w:numPr>
        <w:shd w:val="clear" w:color="auto" w:fill="auto"/>
        <w:tabs>
          <w:tab w:pos="85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ИП Марьинский К.А. на действия комиссии ГБУ «МДН» необоснованной.</w:t>
      </w:r>
    </w:p>
    <w:p>
      <w:pPr>
        <w:pStyle w:val="Style6"/>
        <w:keepNext w:val="0"/>
        <w:keepLines w:val="0"/>
        <w:widowControl w:val="0"/>
        <w:numPr>
          <w:ilvl w:val="0"/>
          <w:numId w:val="11"/>
        </w:numPr>
        <w:shd w:val="clear" w:color="auto" w:fill="auto"/>
        <w:tabs>
          <w:tab w:pos="882" w:val="left"/>
        </w:tabs>
        <w:bidi w:val="0"/>
        <w:spacing w:before="0" w:after="180" w:line="240" w:lineRule="auto"/>
        <w:ind w:left="0" w:right="0" w:firstLine="58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40" w:lineRule="auto"/>
        <w:ind w:left="0" w:right="0" w:firstLine="580"/>
        <w:jc w:val="both"/>
        <w:rPr>
          <w:sz w:val="24"/>
          <w:szCs w:val="24"/>
        </w:rPr>
      </w:pPr>
      <w:r>
        <w:rPr>
          <w:color w:val="000000"/>
          <w:spacing w:val="0"/>
          <w:w w:val="100"/>
          <w:position w:val="0"/>
          <w:sz w:val="28"/>
          <w:szCs w:val="28"/>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r>
        <w:rPr>
          <w:color w:val="000000"/>
          <w:spacing w:val="0"/>
          <w:w w:val="100"/>
          <w:position w:val="0"/>
          <w:sz w:val="24"/>
          <w:szCs w:val="24"/>
          <w:shd w:val="clear" w:color="auto" w:fill="auto"/>
          <w:lang w:val="ru-RU" w:eastAsia="ru-RU" w:bidi="ru-RU"/>
        </w:rPr>
        <w:t>».</w:t>
      </w:r>
    </w:p>
    <w:p>
      <w:pPr>
        <w:widowControl w:val="0"/>
        <w:spacing w:line="1" w:lineRule="exact"/>
        <w:sectPr>
          <w:headerReference w:type="default" r:id="rId15"/>
          <w:footerReference w:type="default" r:id="rId16"/>
          <w:footnotePr>
            <w:pos w:val="pageBottom"/>
            <w:numFmt w:val="decimal"/>
            <w:numRestart w:val="continuous"/>
          </w:footnotePr>
          <w:pgSz w:w="11900" w:h="16840"/>
          <w:pgMar w:top="1066" w:right="552" w:bottom="908" w:left="1105" w:header="0" w:footer="3" w:gutter="0"/>
          <w:cols w:space="720"/>
          <w:noEndnote/>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736600</wp:posOffset>
                </wp:positionH>
                <wp:positionV relativeFrom="paragraph">
                  <wp:posOffset>127000</wp:posOffset>
                </wp:positionV>
                <wp:extent cx="1850390" cy="252730"/>
                <wp:wrapTopAndBottom/>
                <wp:docPr id="19" name="Shape 19"/>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pt;margin-top:10.pt;width:145.70000000000002pt;height:19.900000000000002pt;z-index:-125829372;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9430" simplePos="0" relativeHeight="125829383" behindDoc="0" locked="0" layoutInCell="1" allowOverlap="1">
            <wp:simplePos x="0" y="0"/>
            <wp:positionH relativeFrom="page">
              <wp:posOffset>3107690</wp:posOffset>
            </wp:positionH>
            <wp:positionV relativeFrom="paragraph">
              <wp:posOffset>200025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3571240</wp:posOffset>
                </wp:positionH>
                <wp:positionV relativeFrom="paragraph">
                  <wp:posOffset>602615</wp:posOffset>
                </wp:positionV>
                <wp:extent cx="1280160" cy="103505"/>
                <wp:wrapNone/>
                <wp:docPr id="23" name="Shape 2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6E6E6"/>
                                <w:spacing w:val="0"/>
                                <w:w w:val="100"/>
                                <w:position w:val="0"/>
                                <w:shd w:val="clear" w:color="auto" w:fill="auto"/>
                                <w:lang w:val="ru-RU" w:eastAsia="ru-RU" w:bidi="ru-RU"/>
                              </w:rPr>
                              <w:t xml:space="preserve">СВЕДЕНИЯ </w:t>
                            </w:r>
                            <w:r>
                              <w:rPr>
                                <w:rFonts w:ascii="Times New Roman" w:eastAsia="Times New Roman" w:hAnsi="Times New Roman" w:cs="Times New Roman"/>
                                <w:b/>
                                <w:bCs/>
                                <w:color w:val="FFFFFF"/>
                                <w:spacing w:val="0"/>
                                <w:w w:val="100"/>
                                <w:position w:val="0"/>
                                <w:shd w:val="clear" w:color="auto" w:fill="auto"/>
                                <w:lang w:val="ru-RU" w:eastAsia="ru-RU" w:bidi="ru-RU"/>
                              </w:rPr>
                              <w:t xml:space="preserve">О </w:t>
                            </w:r>
                            <w:r>
                              <w:rPr>
                                <w:rFonts w:ascii="Times New Roman" w:eastAsia="Times New Roman" w:hAnsi="Times New Roman" w:cs="Times New Roman"/>
                                <w:b/>
                                <w:bCs/>
                                <w:color w:val="E6E6E6"/>
                                <w:spacing w:val="0"/>
                                <w:w w:val="100"/>
                                <w:position w:val="0"/>
                                <w:shd w:val="clear" w:color="auto" w:fill="auto"/>
                                <w:lang w:val="ru-RU" w:eastAsia="ru-RU" w:bidi="ru-RU"/>
                              </w:rPr>
                              <w:t xml:space="preserve">СЕРТИФИКАТЕ </w:t>
                            </w:r>
                            <w:r>
                              <w:rPr>
                                <w:rFonts w:ascii="Times New Roman" w:eastAsia="Times New Roman" w:hAnsi="Times New Roman" w:cs="Times New Roman"/>
                                <w:b/>
                                <w:bCs/>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81.19999999999999pt;margin-top:47.450000000000003pt;width:100.8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6E6E6"/>
                          <w:spacing w:val="0"/>
                          <w:w w:val="100"/>
                          <w:position w:val="0"/>
                          <w:shd w:val="clear" w:color="auto" w:fill="auto"/>
                          <w:lang w:val="ru-RU" w:eastAsia="ru-RU" w:bidi="ru-RU"/>
                        </w:rPr>
                        <w:t xml:space="preserve">СВЕДЕНИЯ </w:t>
                      </w:r>
                      <w:r>
                        <w:rPr>
                          <w:rFonts w:ascii="Times New Roman" w:eastAsia="Times New Roman" w:hAnsi="Times New Roman" w:cs="Times New Roman"/>
                          <w:b/>
                          <w:bCs/>
                          <w:color w:val="FFFFFF"/>
                          <w:spacing w:val="0"/>
                          <w:w w:val="100"/>
                          <w:position w:val="0"/>
                          <w:shd w:val="clear" w:color="auto" w:fill="auto"/>
                          <w:lang w:val="ru-RU" w:eastAsia="ru-RU" w:bidi="ru-RU"/>
                        </w:rPr>
                        <w:t xml:space="preserve">О </w:t>
                      </w:r>
                      <w:r>
                        <w:rPr>
                          <w:rFonts w:ascii="Times New Roman" w:eastAsia="Times New Roman" w:hAnsi="Times New Roman" w:cs="Times New Roman"/>
                          <w:b/>
                          <w:bCs/>
                          <w:color w:val="E6E6E6"/>
                          <w:spacing w:val="0"/>
                          <w:w w:val="100"/>
                          <w:position w:val="0"/>
                          <w:shd w:val="clear" w:color="auto" w:fill="auto"/>
                          <w:lang w:val="ru-RU" w:eastAsia="ru-RU" w:bidi="ru-RU"/>
                        </w:rPr>
                        <w:t xml:space="preserve">СЕРТИФИКАТЕ </w:t>
                      </w:r>
                      <w:r>
                        <w:rPr>
                          <w:rFonts w:ascii="Times New Roman" w:eastAsia="Times New Roman" w:hAnsi="Times New Roman" w:cs="Times New Roman"/>
                          <w:b/>
                          <w:bCs/>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3525520</wp:posOffset>
                </wp:positionH>
                <wp:positionV relativeFrom="paragraph">
                  <wp:posOffset>291465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60000000000002pt;margin-top:22.949999999999999pt;width:135.84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6040120</wp:posOffset>
                </wp:positionH>
                <wp:positionV relativeFrom="paragraph">
                  <wp:posOffset>127000</wp:posOffset>
                </wp:positionV>
                <wp:extent cx="1182370" cy="252730"/>
                <wp:wrapTopAndBottom/>
                <wp:docPr id="27" name="Shape 27"/>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3" type="#_x0000_t202" style="position:absolute;margin-left:475.60000000000002pt;margin-top:10.pt;width:93.100000000000009pt;height:19.900000000000002pt;z-index:-125829369;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30"/>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00Е9СРАА6ОО6САО20О424А9502ЕС296Е8</w:t>
      </w:r>
      <w:r>
        <w:rPr>
          <w:color w:val="3B3B3B"/>
          <w:spacing w:val="0"/>
          <w:w w:val="100"/>
          <w:position w:val="0"/>
          <w:shd w:val="clear" w:color="auto" w:fill="auto"/>
          <w:lang w:val="ru-RU" w:eastAsia="ru-RU" w:bidi="ru-RU"/>
        </w:rPr>
        <w:t>;</w:t>
      </w:r>
    </w:p>
    <w:p>
      <w:pPr>
        <w:pStyle w:val="Style30"/>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22.12.2022 </w:t>
      </w:r>
      <w:r>
        <w:rPr>
          <w:color w:val="74747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90" w:line="240" w:lineRule="auto"/>
        <w:ind w:left="0" w:right="0" w:firstLine="740"/>
        <w:jc w:val="left"/>
      </w:pPr>
      <w:r>
        <w:drawing>
          <wp:anchor distT="0" distB="0" distL="114300" distR="1921510" simplePos="0" relativeHeight="125829386" behindDoc="0" locked="0" layoutInCell="1" allowOverlap="1">
            <wp:simplePos x="0" y="0"/>
            <wp:positionH relativeFrom="page">
              <wp:posOffset>3132455</wp:posOffset>
            </wp:positionH>
            <wp:positionV relativeFrom="paragraph">
              <wp:posOffset>76200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3525520</wp:posOffset>
                </wp:positionH>
                <wp:positionV relativeFrom="paragraph">
                  <wp:posOffset>146050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60000000000002pt;margin-top:11.5pt;width:135.84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3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Кутейников </w:t>
      </w:r>
      <w:r>
        <w:rPr>
          <w:color w:val="000000"/>
          <w:spacing w:val="0"/>
          <w:w w:val="100"/>
          <w:position w:val="0"/>
          <w:shd w:val="clear" w:color="auto" w:fill="auto"/>
          <w:lang w:val="ru-RU" w:eastAsia="ru-RU" w:bidi="ru-RU"/>
        </w:rPr>
        <w:t>Антон Андреевич</w:t>
      </w:r>
    </w:p>
    <w:p>
      <w:pPr>
        <w:pStyle w:val="Style30"/>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6366183222Е5ОСЕ2САЗЕ6О732820С91С</w:t>
      </w:r>
    </w:p>
    <w:p>
      <w:pPr>
        <w:pStyle w:val="Style30"/>
        <w:keepNext w:val="0"/>
        <w:keepLines w:val="0"/>
        <w:widowControl w:val="0"/>
        <w:shd w:val="clear" w:color="auto" w:fill="auto"/>
        <w:bidi w:val="0"/>
        <w:spacing w:before="0" w:after="135" w:line="240" w:lineRule="auto"/>
        <w:ind w:right="0" w:firstLine="0"/>
        <w:jc w:val="left"/>
      </w:pPr>
      <w:r>
        <w:drawing>
          <wp:anchor distT="349250" distB="0" distL="114300" distR="3854450" simplePos="0" relativeHeight="125829387" behindDoc="0" locked="0" layoutInCell="1" allowOverlap="1">
            <wp:simplePos x="0" y="0"/>
            <wp:positionH relativeFrom="page">
              <wp:posOffset>3107690</wp:posOffset>
            </wp:positionH>
            <wp:positionV relativeFrom="paragraph">
              <wp:posOffset>539750</wp:posOffset>
            </wp:positionV>
            <wp:extent cx="353695" cy="40259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3695" cy="4025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3525520</wp:posOffset>
                </wp:positionH>
                <wp:positionV relativeFrom="paragraph">
                  <wp:posOffset>631190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60000000000002pt;margin-top:49.700000000000003pt;width:135.84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219075" distL="3321050" distR="113665" simplePos="0" relativeHeight="125829388" behindDoc="0" locked="0" layoutInCell="1" allowOverlap="1">
                <wp:simplePos x="0" y="0"/>
                <wp:positionH relativeFrom="page">
                  <wp:posOffset>6314440</wp:posOffset>
                </wp:positionH>
                <wp:positionV relativeFrom="paragraph">
                  <wp:posOffset>469900</wp:posOffset>
                </wp:positionV>
                <wp:extent cx="887095" cy="250190"/>
                <wp:wrapTopAndBottom/>
                <wp:docPr id="37" name="Shape 37"/>
                <a:graphic xmlns:a="http://schemas.openxmlformats.org/drawingml/2006/main">
                  <a:graphicData uri="http://schemas.microsoft.com/office/word/2010/wordprocessingShape">
                    <wps:wsp>
                      <wps:cNvSpPr txBox="1"/>
                      <wps:spPr>
                        <a:xfrm>
                          <a:ext cx="88709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txbxContent>
                      </wps:txbx>
                      <wps:bodyPr wrap="none" lIns="0" tIns="0" rIns="0" bIns="0">
                        <a:noAutoFit/>
                      </wps:bodyPr>
                    </wps:wsp>
                  </a:graphicData>
                </a:graphic>
              </wp:anchor>
            </w:drawing>
          </mc:Choice>
          <mc:Fallback>
            <w:pict>
              <v:shape id="_x0000_s1063" type="#_x0000_t202" style="position:absolute;margin-left:497.19999999999999pt;margin-top:37.pt;width:69.850000000000009pt;height:19.699999999999999pt;z-index:-125829365;mso-wrap-distance-left:261.5pt;mso-wrap-distance-top:22.pt;mso-wrap-distance-right:8.9500000000000011pt;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txbxContent>
                </v:textbox>
                <w10:wrap type="topAndBottom" anchorx="page"/>
              </v:shape>
            </w:pict>
          </mc:Fallback>
        </mc:AlternateContent>
      </w:r>
      <w:r>
        <mc:AlternateContent>
          <mc:Choice Requires="wps">
            <w:drawing>
              <wp:anchor distT="0" distB="0" distL="114300" distR="114300" simplePos="0" relativeHeight="125829390" behindDoc="0" locked="0" layoutInCell="1" allowOverlap="1">
                <wp:simplePos x="0" y="0"/>
                <wp:positionH relativeFrom="page">
                  <wp:posOffset>709295</wp:posOffset>
                </wp:positionH>
                <wp:positionV relativeFrom="paragraph">
                  <wp:posOffset>850900</wp:posOffset>
                </wp:positionV>
                <wp:extent cx="1731010" cy="301625"/>
                <wp:wrapSquare wrapText="right"/>
                <wp:docPr id="39" name="Shape 39"/>
                <a:graphic xmlns:a="http://schemas.openxmlformats.org/drawingml/2006/main">
                  <a:graphicData uri="http://schemas.microsoft.com/office/word/2010/wordprocessingShape">
                    <wps:wsp>
                      <wps:cNvSpPr txBox="1"/>
                      <wps:spPr>
                        <a:xfrm>
                          <a:ext cx="1731010"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Гугава Эдуард Звиадович 8 (495)784-75-05</w:t>
                            </w:r>
                          </w:p>
                        </w:txbxContent>
                      </wps:txbx>
                      <wps:bodyPr lIns="0" tIns="0" rIns="0" bIns="0">
                        <a:noAutoFit/>
                      </wps:bodyPr>
                    </wps:wsp>
                  </a:graphicData>
                </a:graphic>
              </wp:anchor>
            </w:drawing>
          </mc:Choice>
          <mc:Fallback>
            <w:pict>
              <v:shape id="_x0000_s1065" type="#_x0000_t202" style="position:absolute;margin-left:55.850000000000001pt;margin-top:67.pt;width:136.30000000000001pt;height:23.75pt;z-index:-12582936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Гугава Эдуард Звиадович 8 (495)784-75-05</w:t>
                      </w:r>
                    </w:p>
                  </w:txbxContent>
                </v:textbox>
                <w10:wrap type="square" side="right" anchorx="page"/>
              </v:shape>
            </w:pict>
          </mc:Fallback>
        </mc:AlternateContent>
      </w: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23.01.2023 по </w:t>
      </w:r>
      <w:r>
        <w:rPr>
          <w:color w:val="747474"/>
          <w:spacing w:val="0"/>
          <w:w w:val="100"/>
          <w:position w:val="0"/>
          <w:shd w:val="clear" w:color="auto" w:fill="auto"/>
          <w:lang w:val="ru-RU" w:eastAsia="ru-RU" w:bidi="ru-RU"/>
        </w:rPr>
        <w:t>17.04.2024</w:t>
      </w:r>
    </w:p>
    <w:p>
      <w:pPr>
        <w:pStyle w:val="Style3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1600" w:right="0" w:firstLine="0"/>
        <w:jc w:val="left"/>
      </w:pPr>
      <w:r>
        <w:rPr>
          <w:color w:val="E6E6E6"/>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30"/>
        <w:keepNext w:val="0"/>
        <w:keepLines w:val="0"/>
        <w:widowControl w:val="0"/>
        <w:shd w:val="clear" w:color="auto" w:fill="auto"/>
        <w:bidi w:val="0"/>
        <w:spacing w:before="0" w:after="0" w:line="240" w:lineRule="auto"/>
        <w:ind w:left="0" w:right="0" w:firstLine="900"/>
        <w:jc w:val="left"/>
        <w:rPr>
          <w:sz w:val="11"/>
          <w:szCs w:val="11"/>
        </w:rPr>
      </w:pPr>
      <w:r>
        <w:rPr>
          <w:color w:val="74747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30"/>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6281 Е5АЕВ0О2ЭВЕ2АООСЕ65248493Е7С</w:t>
      </w:r>
    </w:p>
    <w:p>
      <w:pPr>
        <w:pStyle w:val="Style30"/>
        <w:keepNext w:val="0"/>
        <w:keepLines w:val="0"/>
        <w:widowControl w:val="0"/>
        <w:shd w:val="clear" w:color="auto" w:fill="auto"/>
        <w:bidi w:val="0"/>
        <w:spacing w:before="0" w:after="40" w:line="240" w:lineRule="auto"/>
        <w:ind w:right="0" w:firstLine="0"/>
        <w:jc w:val="left"/>
      </w:pPr>
      <w:r>
        <w:rPr>
          <w:color w:val="74747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13.04.2023 </w:t>
      </w:r>
      <w:r>
        <w:rPr>
          <w:color w:val="74747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06.07.2024</w:t>
      </w:r>
    </w:p>
    <w:sectPr>
      <w:footnotePr>
        <w:pos w:val="pageBottom"/>
        <w:numFmt w:val="decimal"/>
        <w:numRestart w:val="continuous"/>
      </w:footnotePr>
      <w:type w:val="continuous"/>
      <w:pgSz w:w="11900" w:h="16840"/>
      <w:pgMar w:top="1162" w:right="556" w:bottom="81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10316845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2023-61777</w:t>
                          </w:r>
                        </w:p>
                      </w:txbxContent>
                    </wps:txbx>
                    <wps:bodyPr wrap="none" lIns="0" tIns="0" rIns="0" bIns="0">
                      <a:spAutoFit/>
                    </wps:bodyPr>
                  </wps:wsp>
                </a:graphicData>
              </a:graphic>
            </wp:anchor>
          </w:drawing>
        </mc:Choice>
        <mc:Fallback>
          <w:pict>
            <v:shape id="_x0000_s1033" type="#_x0000_t202" style="position:absolute;margin-left:56.600000000000001pt;margin-top:812.35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2023-61777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727710</wp:posOffset>
              </wp:positionH>
              <wp:positionV relativeFrom="page">
                <wp:posOffset>10153650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2023-61777</w:t>
                          </w:r>
                        </w:p>
                      </w:txbxContent>
                    </wps:txbx>
                    <wps:bodyPr wrap="none" lIns="0" tIns="0" rIns="0" bIns="0">
                      <a:spAutoFit/>
                    </wps:bodyPr>
                  </wps:wsp>
                </a:graphicData>
              </a:graphic>
            </wp:anchor>
          </w:drawing>
        </mc:Choice>
        <mc:Fallback>
          <w:pict>
            <v:shape id="_x0000_s1037" type="#_x0000_t202" style="position:absolute;margin-left:57.300000000000004pt;margin-top:799.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2023-61777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727710</wp:posOffset>
              </wp:positionH>
              <wp:positionV relativeFrom="page">
                <wp:posOffset>10153650</wp:posOffset>
              </wp:positionV>
              <wp:extent cx="725170" cy="100330"/>
              <wp:wrapNone/>
              <wp:docPr id="17" name="Shape 1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2023-61777</w:t>
                          </w:r>
                        </w:p>
                      </w:txbxContent>
                    </wps:txbx>
                    <wps:bodyPr wrap="none" lIns="0" tIns="0" rIns="0" bIns="0">
                      <a:spAutoFit/>
                    </wps:bodyPr>
                  </wps:wsp>
                </a:graphicData>
              </a:graphic>
            </wp:anchor>
          </w:drawing>
        </mc:Choice>
        <mc:Fallback>
          <w:pict>
            <v:shape id="_x0000_s1043" type="#_x0000_t202" style="position:absolute;margin-left:57.300000000000004pt;margin-top:799.5pt;width:57.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2023-61777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450850</wp:posOffset>
              </wp:positionV>
              <wp:extent cx="113030" cy="103505"/>
              <wp:wrapNone/>
              <wp:docPr id="5" name="Shape 5"/>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30000000000001pt;margin-top:35.5pt;width:8.9000000000000004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3903345</wp:posOffset>
              </wp:positionH>
              <wp:positionV relativeFrom="page">
                <wp:posOffset>415290</wp:posOffset>
              </wp:positionV>
              <wp:extent cx="121920" cy="103505"/>
              <wp:wrapNone/>
              <wp:docPr id="9" name="Shape 9"/>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5000000000002pt;margin-top:32.700000000000003pt;width:9.5999999999999996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450850</wp:posOffset>
              </wp:positionV>
              <wp:extent cx="113030" cy="103505"/>
              <wp:wrapNone/>
              <wp:docPr id="13" name="Shape 13"/>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5.5pt;width:8.9000000000000004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3903345</wp:posOffset>
              </wp:positionH>
              <wp:positionV relativeFrom="page">
                <wp:posOffset>415290</wp:posOffset>
              </wp:positionV>
              <wp:extent cx="121920" cy="103505"/>
              <wp:wrapNone/>
              <wp:docPr id="15" name="Shape 15"/>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35000000000002pt;margin-top:32.700000000000003pt;width:9.5999999999999996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3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4"/>
      <w:szCs w:val="34"/>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62626"/>
      <w:sz w:val="11"/>
      <w:szCs w:val="11"/>
      <w:u w:val="none"/>
    </w:rPr>
  </w:style>
  <w:style w:type="character" w:customStyle="1" w:styleId="CharStyle27">
    <w:name w:val="Заголовок №2_"/>
    <w:basedOn w:val="DefaultParagraphFont"/>
    <w:link w:val="Style26"/>
    <w:rPr>
      <w:rFonts w:ascii="Times New Roman" w:eastAsia="Times New Roman" w:hAnsi="Times New Roman" w:cs="Times New Roman"/>
      <w:b w:val="0"/>
      <w:bCs w:val="0"/>
      <w:i w:val="0"/>
      <w:iCs w:val="0"/>
      <w:smallCaps w:val="0"/>
      <w:strike w:val="0"/>
      <w:sz w:val="30"/>
      <w:szCs w:val="30"/>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595959"/>
      <w:sz w:val="12"/>
      <w:szCs w:val="12"/>
      <w:u w:val="none"/>
    </w:rPr>
  </w:style>
  <w:style w:type="character" w:customStyle="1" w:styleId="CharStyle38">
    <w:name w:val="Основной текст (4)_"/>
    <w:basedOn w:val="DefaultParagraphFont"/>
    <w:link w:val="Style37"/>
    <w:rPr>
      <w:rFonts w:ascii="Times New Roman" w:eastAsia="Times New Roman" w:hAnsi="Times New Roman" w:cs="Times New Roman"/>
      <w:b/>
      <w:bCs/>
      <w:i w:val="0"/>
      <w:iCs w:val="0"/>
      <w:smallCaps w:val="0"/>
      <w:strike w:val="0"/>
      <w:color w:val="EBEBEB"/>
      <w:sz w:val="11"/>
      <w:szCs w:val="11"/>
      <w:u w:val="none"/>
    </w:rPr>
  </w:style>
  <w:style w:type="paragraph" w:customStyle="1" w:styleId="Style2">
    <w:name w:val="Основной текст (3)"/>
    <w:basedOn w:val="Normal"/>
    <w:link w:val="CharStyle3"/>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3"/>
    <w:basedOn w:val="Normal"/>
    <w:link w:val="CharStyle15"/>
    <w:pPr>
      <w:widowControl w:val="0"/>
      <w:shd w:val="clear" w:color="auto" w:fill="auto"/>
      <w:spacing w:after="30"/>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16">
    <w:name w:val="Заголовок №1"/>
    <w:basedOn w:val="Normal"/>
    <w:link w:val="CharStyle17"/>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6">
    <w:name w:val="Заголовок №2"/>
    <w:basedOn w:val="Normal"/>
    <w:link w:val="CharStyle27"/>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30">
    <w:name w:val="Основной текст (2)"/>
    <w:basedOn w:val="Normal"/>
    <w:link w:val="CharStyle31"/>
    <w:pPr>
      <w:widowControl w:val="0"/>
      <w:shd w:val="clear" w:color="auto" w:fill="auto"/>
      <w:ind w:left="3820"/>
    </w:pPr>
    <w:rPr>
      <w:rFonts w:ascii="Arial" w:eastAsia="Arial" w:hAnsi="Arial" w:cs="Arial"/>
      <w:b w:val="0"/>
      <w:bCs w:val="0"/>
      <w:i w:val="0"/>
      <w:iCs w:val="0"/>
      <w:smallCaps w:val="0"/>
      <w:strike w:val="0"/>
      <w:color w:val="595959"/>
      <w:sz w:val="12"/>
      <w:szCs w:val="12"/>
      <w:u w:val="none"/>
    </w:rPr>
  </w:style>
  <w:style w:type="paragraph" w:customStyle="1" w:styleId="Style37">
    <w:name w:val="Основной текст (4)"/>
    <w:basedOn w:val="Normal"/>
    <w:link w:val="CharStyle38"/>
    <w:pPr>
      <w:widowControl w:val="0"/>
      <w:shd w:val="clear" w:color="auto" w:fill="auto"/>
      <w:spacing w:after="80"/>
      <w:ind w:left="3060"/>
    </w:pPr>
    <w:rPr>
      <w:rFonts w:ascii="Times New Roman" w:eastAsia="Times New Roman" w:hAnsi="Times New Roman" w:cs="Times New Roman"/>
      <w:b/>
      <w:bCs/>
      <w:i w:val="0"/>
      <w:iCs w:val="0"/>
      <w:smallCaps w:val="0"/>
      <w:strike w:val="0"/>
      <w:color w:val="EBEBEB"/>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