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1781175</wp:posOffset>
            </wp:positionH>
            <wp:positionV relativeFrom="paragraph">
              <wp:posOffset>12700</wp:posOffset>
            </wp:positionV>
            <wp:extent cx="511810" cy="60960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pStyle w:val="Style2"/>
        <w:keepNext w:val="0"/>
        <w:keepLines w:val="0"/>
        <w:widowControl w:val="0"/>
        <w:shd w:val="clear" w:color="auto" w:fill="auto"/>
        <w:tabs>
          <w:tab w:pos="5263" w:val="left"/>
        </w:tabs>
        <w:bidi w:val="0"/>
        <w:spacing w:before="0" w:after="0" w:line="161" w:lineRule="auto"/>
        <w:ind w:left="1320" w:right="0" w:firstLine="0"/>
        <w:jc w:val="left"/>
        <w:rPr>
          <w:sz w:val="28"/>
          <w:szCs w:val="28"/>
        </w:rPr>
      </w:pPr>
      <w:r>
        <w:rPr>
          <w:b/>
          <w:bCs/>
          <w:spacing w:val="0"/>
          <w:w w:val="100"/>
          <w:position w:val="0"/>
          <w:sz w:val="19"/>
          <w:szCs w:val="19"/>
          <w:shd w:val="clear" w:color="auto" w:fill="auto"/>
          <w:lang w:val="ru-RU" w:eastAsia="ru-RU" w:bidi="ru-RU"/>
        </w:rPr>
        <w:t>ФЕДЕРАЛЬНАЯ</w:t>
        <w:tab/>
      </w:r>
      <w:r>
        <w:rPr>
          <w:color w:val="000000"/>
          <w:spacing w:val="0"/>
          <w:w w:val="100"/>
          <w:position w:val="0"/>
          <w:sz w:val="28"/>
          <w:szCs w:val="28"/>
          <w:shd w:val="clear" w:color="auto" w:fill="auto"/>
          <w:lang w:val="ru-RU" w:eastAsia="ru-RU" w:bidi="ru-RU"/>
        </w:rPr>
        <w:t>ГБУ «МДН»</w:t>
      </w:r>
    </w:p>
    <w:p>
      <w:pPr>
        <w:pStyle w:val="Style2"/>
        <w:keepNext w:val="0"/>
        <w:keepLines w:val="0"/>
        <w:widowControl w:val="0"/>
        <w:shd w:val="clear" w:color="auto" w:fill="auto"/>
        <w:bidi w:val="0"/>
        <w:spacing w:before="0" w:after="80" w:line="240" w:lineRule="auto"/>
        <w:ind w:left="0" w:right="0" w:firstLine="500"/>
        <w:jc w:val="left"/>
      </w:pPr>
      <w:r>
        <w:rPr>
          <w:b/>
          <w:bCs/>
          <w:spacing w:val="0"/>
          <w:w w:val="100"/>
          <w:position w:val="0"/>
          <w:shd w:val="clear" w:color="auto" w:fill="auto"/>
          <w:lang w:val="ru-RU" w:eastAsia="ru-RU" w:bidi="ru-RU"/>
        </w:rPr>
        <w:t>АНТИМОНОПОЛЬНАЯ СЛУЖБА</w:t>
      </w:r>
    </w:p>
    <w:p>
      <w:pPr>
        <w:pStyle w:val="Style9"/>
        <w:keepNext w:val="0"/>
        <w:keepLines w:val="0"/>
        <w:widowControl w:val="0"/>
        <w:shd w:val="clear" w:color="auto" w:fill="auto"/>
        <w:tabs>
          <w:tab w:pos="3924" w:val="left"/>
        </w:tabs>
        <w:bidi w:val="0"/>
        <w:spacing w:before="0" w:after="220" w:line="240" w:lineRule="auto"/>
        <w:ind w:left="0" w:right="0" w:firstLine="0"/>
        <w:jc w:val="center"/>
      </w:pPr>
      <w:r>
        <w:rPr>
          <w:smallCaps/>
          <w:color w:val="45609C"/>
          <w:spacing w:val="0"/>
          <w:w w:val="100"/>
          <w:position w:val="0"/>
          <w:sz w:val="24"/>
          <w:szCs w:val="24"/>
          <w:shd w:val="clear" w:color="auto" w:fill="auto"/>
          <w:lang w:val="ru-RU" w:eastAsia="ru-RU" w:bidi="ru-RU"/>
        </w:rPr>
        <w:t>управление</w:t>
      </w:r>
      <w:r>
        <w:rPr>
          <w:color w:val="45609C"/>
          <w:spacing w:val="0"/>
          <w:w w:val="100"/>
          <w:position w:val="0"/>
          <w:shd w:val="clear" w:color="auto" w:fill="auto"/>
          <w:lang w:val="ru-RU" w:eastAsia="ru-RU" w:bidi="ru-RU"/>
        </w:rPr>
        <w:tab/>
      </w:r>
      <w:r>
        <w:rPr>
          <w:color w:val="000000"/>
          <w:spacing w:val="0"/>
          <w:w w:val="100"/>
          <w:position w:val="0"/>
          <w:shd w:val="clear" w:color="auto" w:fill="auto"/>
          <w:lang w:val="ru-RU" w:eastAsia="ru-RU" w:bidi="ru-RU"/>
        </w:rPr>
        <w:t>дЪитдп@ге1а11оп.то8.ги</w:t>
      </w:r>
    </w:p>
    <w:p>
      <w:pPr>
        <w:pStyle w:val="Style2"/>
        <w:keepNext w:val="0"/>
        <w:keepLines w:val="0"/>
        <w:widowControl w:val="0"/>
        <w:shd w:val="clear" w:color="auto" w:fill="auto"/>
        <w:tabs>
          <w:tab w:pos="6177" w:val="left"/>
        </w:tabs>
        <w:bidi w:val="0"/>
        <w:spacing w:before="0" w:after="0" w:line="240" w:lineRule="auto"/>
        <w:ind w:left="1540" w:right="0" w:firstLine="0"/>
        <w:jc w:val="left"/>
      </w:pPr>
      <w:r>
        <w:rPr>
          <w:b/>
          <w:bCs/>
          <w:spacing w:val="0"/>
          <w:w w:val="100"/>
          <w:position w:val="0"/>
          <w:shd w:val="clear" w:color="auto" w:fill="auto"/>
          <w:lang w:val="ru-RU" w:eastAsia="ru-RU" w:bidi="ru-RU"/>
        </w:rPr>
        <w:t>по г. Москве</w:t>
        <w:tab/>
      </w:r>
      <w:r>
        <w:rPr>
          <w:b/>
          <w:bCs/>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180" w:lineRule="auto"/>
        <w:ind w:left="5320" w:right="0" w:firstLine="0"/>
        <w:jc w:val="left"/>
      </w:pPr>
      <w:r>
        <w:rPr>
          <w:color w:val="000000"/>
          <w:spacing w:val="0"/>
          <w:w w:val="100"/>
          <w:position w:val="0"/>
          <w:shd w:val="clear" w:color="auto" w:fill="auto"/>
          <w:lang w:val="ru-RU" w:eastAsia="ru-RU" w:bidi="ru-RU"/>
        </w:rPr>
        <w:t>ООО «Артокс»</w:t>
      </w:r>
    </w:p>
    <w:p>
      <w:pPr>
        <w:pStyle w:val="Style2"/>
        <w:keepNext w:val="0"/>
        <w:keepLines w:val="0"/>
        <w:widowControl w:val="0"/>
        <w:shd w:val="clear" w:color="auto" w:fill="auto"/>
        <w:tabs>
          <w:tab w:pos="5263" w:val="left"/>
        </w:tabs>
        <w:bidi w:val="0"/>
        <w:spacing w:before="0" w:after="0" w:line="206" w:lineRule="auto"/>
        <w:ind w:right="0" w:firstLine="540"/>
        <w:jc w:val="both"/>
        <w:rPr>
          <w:sz w:val="28"/>
          <w:szCs w:val="28"/>
        </w:rPr>
      </w:pPr>
      <w:r>
        <w:rPr>
          <w:spacing w:val="0"/>
          <w:w w:val="100"/>
          <w:position w:val="0"/>
          <w:sz w:val="19"/>
          <w:szCs w:val="19"/>
          <w:shd w:val="clear" w:color="auto" w:fill="auto"/>
          <w:lang w:val="ru-RU" w:eastAsia="ru-RU" w:bidi="ru-RU"/>
        </w:rPr>
        <w:t>Мясницкий проезд, д.4, стр. 1 107078, г. Москва, тел. (495) 784-75-05, факс (495) 607-49-29</w:t>
        <w:tab/>
      </w:r>
      <w:r>
        <w:rPr>
          <w:color w:val="000000"/>
          <w:spacing w:val="0"/>
          <w:w w:val="100"/>
          <w:position w:val="0"/>
          <w:sz w:val="28"/>
          <w:szCs w:val="28"/>
          <w:shd w:val="clear" w:color="auto" w:fill="auto"/>
          <w:lang w:val="ru-RU" w:eastAsia="ru-RU" w:bidi="ru-RU"/>
        </w:rPr>
        <w:t>1ШО@а11ок8.Пе1:</w:t>
      </w:r>
    </w:p>
    <w:p>
      <w:pPr>
        <w:pStyle w:val="Style2"/>
        <w:keepNext w:val="0"/>
        <w:keepLines w:val="0"/>
        <w:widowControl w:val="0"/>
        <w:shd w:val="clear" w:color="auto" w:fill="auto"/>
        <w:bidi w:val="0"/>
        <w:spacing w:before="0" w:after="0" w:line="240" w:lineRule="auto"/>
        <w:ind w:left="0" w:right="0" w:firstLine="220"/>
        <w:jc w:val="left"/>
      </w:pPr>
      <w:r>
        <w:rPr>
          <w:spacing w:val="0"/>
          <w:w w:val="100"/>
          <w:position w:val="0"/>
          <w:shd w:val="clear" w:color="auto" w:fill="auto"/>
          <w:lang w:val="ru-RU" w:eastAsia="ru-RU" w:bidi="ru-RU"/>
        </w:rPr>
        <w:t xml:space="preserve">факс (495) 607-42-92, </w:t>
      </w:r>
      <w:r>
        <w:rPr>
          <w:spacing w:val="0"/>
          <w:w w:val="100"/>
          <w:position w:val="0"/>
          <w:u w:val="single"/>
          <w:shd w:val="clear" w:color="auto" w:fill="auto"/>
          <w:lang w:val="ru-RU" w:eastAsia="ru-RU" w:bidi="ru-RU"/>
        </w:rPr>
        <w:t>е-тай: 1о77@Га8.еоу.ги</w:t>
      </w:r>
    </w:p>
    <w:p>
      <w:pPr>
        <w:pStyle w:val="Style9"/>
        <w:keepNext w:val="0"/>
        <w:keepLines w:val="0"/>
        <w:widowControl w:val="0"/>
        <w:shd w:val="clear" w:color="auto" w:fill="auto"/>
        <w:tabs>
          <w:tab w:pos="1908" w:val="left"/>
          <w:tab w:pos="2687" w:val="left"/>
          <w:tab w:pos="5263" w:val="left"/>
        </w:tabs>
        <w:bidi w:val="0"/>
        <w:spacing w:before="0" w:after="220" w:line="240" w:lineRule="auto"/>
        <w:ind w:left="0" w:right="0" w:firstLine="220"/>
        <w:jc w:val="left"/>
      </w:pPr>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9.12.2023</w:t>
        <w:tab/>
      </w:r>
      <w:r>
        <w:fldChar w:fldCharType="end"/>
      </w:r>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ab/>
      </w:r>
      <w:r>
        <w:rPr>
          <w:color w:val="000000"/>
          <w:spacing w:val="0"/>
          <w:w w:val="100"/>
          <w:position w:val="0"/>
          <w:shd w:val="clear" w:color="auto" w:fill="auto"/>
          <w:lang w:val="ru-RU" w:eastAsia="ru-RU" w:bidi="ru-RU"/>
        </w:rPr>
        <w:t>54131/23</w:t>
        <w:tab/>
        <w:t>ИП Марьинский К.А.</w:t>
      </w:r>
    </w:p>
    <w:p>
      <w:pPr>
        <w:pStyle w:val="Style9"/>
        <w:keepNext w:val="0"/>
        <w:keepLines w:val="0"/>
        <w:widowControl w:val="0"/>
        <w:shd w:val="clear" w:color="auto" w:fill="auto"/>
        <w:tabs>
          <w:tab w:leader="hyphen" w:pos="1908" w:val="left"/>
          <w:tab w:leader="hyphen" w:pos="3924" w:val="left"/>
        </w:tabs>
        <w:bidi w:val="0"/>
        <w:spacing w:before="0" w:after="540" w:line="240" w:lineRule="auto"/>
        <w:ind w:left="0" w:right="0" w:firstLine="0"/>
        <w:jc w:val="left"/>
      </w:pPr>
      <w:r>
        <w:rPr>
          <w:color w:val="45609C"/>
          <w:spacing w:val="0"/>
          <w:w w:val="100"/>
          <w:position w:val="0"/>
          <w:sz w:val="19"/>
          <w:szCs w:val="19"/>
          <w:shd w:val="clear" w:color="auto" w:fill="auto"/>
          <w:lang w:val="ru-RU" w:eastAsia="ru-RU" w:bidi="ru-RU"/>
        </w:rPr>
        <w:t xml:space="preserve">на№ </w:t>
        <w:tab/>
        <w:t xml:space="preserve"> от</w:t>
        <w:tab/>
        <w:t xml:space="preserve"> </w:t>
      </w:r>
      <w:r>
        <w:rPr>
          <w:color w:val="000000"/>
          <w:spacing w:val="0"/>
          <w:w w:val="100"/>
          <w:position w:val="0"/>
          <w:shd w:val="clear" w:color="auto" w:fill="auto"/>
          <w:lang w:val="ru-RU" w:eastAsia="ru-RU" w:bidi="ru-RU"/>
        </w:rPr>
        <w:t>6тГо@рготепа4.т8к.ги</w:t>
      </w:r>
    </w:p>
    <w:p>
      <w:pPr>
        <w:pStyle w:val="Style17"/>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077/06/106-17468/2023 о нарушении</w:t>
        <w:br/>
        <w:t>законодательства о контрактной системе</w:t>
      </w:r>
    </w:p>
    <w:p>
      <w:pPr>
        <w:pStyle w:val="Style9"/>
        <w:keepNext w:val="0"/>
        <w:keepLines w:val="0"/>
        <w:widowControl w:val="0"/>
        <w:shd w:val="clear" w:color="auto" w:fill="auto"/>
        <w:tabs>
          <w:tab w:pos="8933"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14.12.2023</w:t>
        <w:tab/>
        <w:t>г. Москва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 — эксперта отдела обжалования государственных закупок Э.З. Гугава,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 конференц связи),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 «МДН»: А.В. Короткова (по дов.№48 от 12.12.2023), К.А. Курденкова (по дов. № 49 от 12.12.2023),</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ИП Марьинский К.А., ООО «Артокс», о времени и порядке заседания Комиссии Управления уведомленных посредством функционала Единой информационной системы,</w:t>
      </w:r>
    </w:p>
    <w:p>
      <w:pPr>
        <w:pStyle w:val="Style9"/>
        <w:keepNext w:val="0"/>
        <w:keepLines w:val="0"/>
        <w:widowControl w:val="0"/>
        <w:shd w:val="clear" w:color="auto" w:fill="auto"/>
        <w:bidi w:val="0"/>
        <w:spacing w:before="0" w:after="220" w:line="240" w:lineRule="auto"/>
        <w:ind w:left="0" w:right="0" w:firstLine="720"/>
        <w:jc w:val="both"/>
      </w:pPr>
      <w:r>
        <w:rPr>
          <w:color w:val="000000"/>
          <w:spacing w:val="0"/>
          <w:w w:val="100"/>
          <w:position w:val="0"/>
          <w:shd w:val="clear" w:color="auto" w:fill="auto"/>
          <w:lang w:val="ru-RU" w:eastAsia="ru-RU" w:bidi="ru-RU"/>
        </w:rPr>
        <w:t>рассмотрев жалобу ООО «Артокс» (далее — Заявитель) на действия ГБУ «МДН» (далее — Заказчик) при проведении открытого конкурса в электронной форме на право заключения государственного контракта на оказание услуг по подготовке, организации и проведению мероприятий в рамках проекта: «Молодежный межнациональный фестиваль «Разноцветная Москва» (Закупка № 0373200106423000031)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0"/>
        <w:keepNext w:val="0"/>
        <w:keepLines w:val="0"/>
        <w:widowControl w:val="0"/>
        <w:shd w:val="clear" w:color="auto" w:fill="auto"/>
        <w:bidi w:val="0"/>
        <w:spacing w:before="0" w:line="240" w:lineRule="auto"/>
        <w:ind w:left="0" w:right="0"/>
        <w:jc w:val="left"/>
      </w:pP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УСТАНОВЛЕНО:</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конкурса.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неправомерной оценке заявки ИП Марьинский К.А., а также неправомерном признании такой заявки соответствующей требованиям извещения об осуществлении закупки и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07.12.2023 №ИЭОК1 заявка ИП Марьинский К.А. признана соответствующей комиссией Заказчика, данный участник является победителем.</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9"/>
        <w:keepNext w:val="0"/>
        <w:keepLines w:val="0"/>
        <w:widowControl w:val="0"/>
        <w:numPr>
          <w:ilvl w:val="0"/>
          <w:numId w:val="1"/>
        </w:numPr>
        <w:shd w:val="clear" w:color="auto" w:fill="auto"/>
        <w:tabs>
          <w:tab w:pos="106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цена контракта;</w:t>
      </w:r>
    </w:p>
    <w:p>
      <w:pPr>
        <w:pStyle w:val="Style9"/>
        <w:keepNext w:val="0"/>
        <w:keepLines w:val="0"/>
        <w:widowControl w:val="0"/>
        <w:numPr>
          <w:ilvl w:val="0"/>
          <w:numId w:val="1"/>
        </w:numPr>
        <w:shd w:val="clear" w:color="auto" w:fill="auto"/>
        <w:tabs>
          <w:tab w:pos="106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9"/>
        <w:keepNext w:val="0"/>
        <w:keepLines w:val="0"/>
        <w:widowControl w:val="0"/>
        <w:numPr>
          <w:ilvl w:val="0"/>
          <w:numId w:val="1"/>
        </w:numPr>
        <w:shd w:val="clear" w:color="auto" w:fill="auto"/>
        <w:tabs>
          <w:tab w:pos="106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9"/>
        <w:keepNext w:val="0"/>
        <w:keepLines w:val="0"/>
        <w:widowControl w:val="0"/>
        <w:numPr>
          <w:ilvl w:val="0"/>
          <w:numId w:val="1"/>
        </w:numPr>
        <w:shd w:val="clear" w:color="auto" w:fill="auto"/>
        <w:tabs>
          <w:tab w:pos="106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 алификации.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п.4 ч.2 ст.42 Закона о контрактной системе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9"/>
        <w:keepNext w:val="0"/>
        <w:keepLines w:val="0"/>
        <w:widowControl w:val="0"/>
        <w:shd w:val="clear" w:color="auto" w:fill="auto"/>
        <w:bidi w:val="0"/>
        <w:spacing w:before="0" w:after="0" w:line="240" w:lineRule="auto"/>
        <w:ind w:left="0" w:right="0" w:firstLine="70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22" w:right="537" w:bottom="828" w:left="1101"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извещениями об осуществлении закупок оценка заявок производится в соответствии с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РФ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ст.24 Закона о контрактной системе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Законом о контрактной системе предусмотрена документация о закупке).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9"/>
        <w:keepNext w:val="0"/>
        <w:keepLines w:val="0"/>
        <w:widowControl w:val="0"/>
        <w:numPr>
          <w:ilvl w:val="0"/>
          <w:numId w:val="3"/>
        </w:numPr>
        <w:shd w:val="clear" w:color="auto" w:fill="auto"/>
        <w:tabs>
          <w:tab w:pos="109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9"/>
        <w:keepNext w:val="0"/>
        <w:keepLines w:val="0"/>
        <w:widowControl w:val="0"/>
        <w:numPr>
          <w:ilvl w:val="0"/>
          <w:numId w:val="3"/>
        </w:numPr>
        <w:shd w:val="clear" w:color="auto" w:fill="auto"/>
        <w:tabs>
          <w:tab w:pos="10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9"/>
        <w:keepNext w:val="0"/>
        <w:keepLines w:val="0"/>
        <w:widowControl w:val="0"/>
        <w:numPr>
          <w:ilvl w:val="0"/>
          <w:numId w:val="3"/>
        </w:numPr>
        <w:shd w:val="clear" w:color="auto" w:fill="auto"/>
        <w:tabs>
          <w:tab w:pos="106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9"/>
        <w:keepNext w:val="0"/>
        <w:keepLines w:val="0"/>
        <w:widowControl w:val="0"/>
        <w:numPr>
          <w:ilvl w:val="0"/>
          <w:numId w:val="3"/>
        </w:numPr>
        <w:shd w:val="clear" w:color="auto" w:fill="auto"/>
        <w:tabs>
          <w:tab w:pos="10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9"/>
        <w:keepNext w:val="0"/>
        <w:keepLines w:val="0"/>
        <w:widowControl w:val="0"/>
        <w:numPr>
          <w:ilvl w:val="0"/>
          <w:numId w:val="3"/>
        </w:numPr>
        <w:shd w:val="clear" w:color="auto" w:fill="auto"/>
        <w:tabs>
          <w:tab w:pos="10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п.25 Положения для оценки заявок по показателям оценки, предусмотренным пунктом 24 Положения, применяются детализирующие показатели.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пп. «а» п.28 Положения в случае применения показателя оценки, предусмотренного подпунктом «в» пункта 24 Положения применяются один или несколько из следующих детализирующих показателей оценки: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общая цена исполненных участником закупки договоров;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общее количество исполненных участником закупки договоров;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наибольшая цена одного из исполненных участником закупки договоров.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определено, что согласно извещению об осуществлении закупки Заказчиком установлен, в том числе следующий порядок оценки заявок по детализирующему показателю «Наибольшая цена одного из исполненных участником закупки договоров»:</w:t>
      </w:r>
    </w:p>
    <w:p>
      <w:pPr>
        <w:pStyle w:val="Style9"/>
        <w:keepNext w:val="0"/>
        <w:keepLines w:val="0"/>
        <w:widowControl w:val="0"/>
        <w:shd w:val="clear" w:color="auto" w:fill="auto"/>
        <w:bidi w:val="0"/>
        <w:spacing w:before="0" w:after="0" w:line="264" w:lineRule="auto"/>
        <w:ind w:left="0" w:right="0" w:firstLine="700"/>
        <w:jc w:val="both"/>
        <w:rPr>
          <w:sz w:val="22"/>
          <w:szCs w:val="22"/>
        </w:rPr>
        <w:sectPr>
          <w:headerReference w:type="default" r:id="rId11"/>
          <w:footerReference w:type="default" r:id="rId12"/>
          <w:footnotePr>
            <w:pos w:val="pageBottom"/>
            <w:numFmt w:val="decimal"/>
            <w:numRestart w:val="continuous"/>
          </w:footnotePr>
          <w:type w:val="continuous"/>
          <w:pgSz w:w="11900" w:h="16840"/>
          <w:pgMar w:top="1022" w:right="537" w:bottom="828" w:left="1101" w:header="0" w:footer="400" w:gutter="0"/>
          <w:cols w:space="720"/>
          <w:noEndnote/>
          <w:rtlGutter w:val="0"/>
          <w:docGrid w:linePitch="360"/>
        </w:sectPr>
      </w:pPr>
      <w:r>
        <w:rPr>
          <w:color w:val="000000"/>
          <w:spacing w:val="0"/>
          <w:w w:val="100"/>
          <w:position w:val="0"/>
          <w:sz w:val="28"/>
          <w:szCs w:val="28"/>
          <w:shd w:val="clear" w:color="auto" w:fill="auto"/>
          <w:lang w:val="ru-RU" w:eastAsia="ru-RU" w:bidi="ru-RU"/>
        </w:rPr>
        <w:t>«</w:t>
      </w:r>
      <w:r>
        <w:rPr>
          <w:i/>
          <w:iCs/>
          <w:color w:val="000000"/>
          <w:spacing w:val="0"/>
          <w:w w:val="100"/>
          <w:position w:val="0"/>
          <w:sz w:val="28"/>
          <w:szCs w:val="28"/>
          <w:shd w:val="clear" w:color="auto" w:fill="auto"/>
          <w:lang w:val="ru-RU" w:eastAsia="ru-RU" w:bidi="ru-RU"/>
        </w:rPr>
        <w:t xml:space="preserve">Оценивается предложение участника о наибольшей цене одного из исполненных участником закупки контрактов (договоров) за последние 5 лет, предшествующие дате окончания срока подачи заявок на участие в настоящем конкурсе (наибольший объем выполненных работ (оказанных услуг) одного из исполненных участником закупки контрактов (договоров), исчисляемый в рублях, </w:t>
      </w:r>
      <w:r>
        <w:rPr>
          <w:rFonts w:ascii="Cambria" w:eastAsia="Cambria" w:hAnsi="Cambria" w:cs="Cambria"/>
          <w:color w:val="000000"/>
          <w:spacing w:val="0"/>
          <w:w w:val="100"/>
          <w:position w:val="0"/>
          <w:sz w:val="22"/>
          <w:szCs w:val="22"/>
          <w:shd w:val="clear" w:color="auto" w:fill="auto"/>
          <w:lang w:val="ru-RU" w:eastAsia="ru-RU" w:bidi="ru-RU"/>
        </w:rPr>
        <w:t>2023-61325</w:t>
      </w:r>
    </w:p>
    <w:p>
      <w:pPr>
        <w:pStyle w:val="Style9"/>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связанных с предметом контракта, заключаемого по результатам проведения закупки).</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Последний акт, составленный при исполнении договора и предусмотренный абзацем третьим подпункта "в" пункта 28 постановлением Правительства Российской Федерации от 31.12.2021 № 2604, должен быть подписан не ранее чем за 5 лет до даты окончания срока подачи заявок.</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К оценке принимается исключительно исполненный договор,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Под работами, связанными с предметом контракта, понимаются работы по организации и проведению культурно-массовых мероприятий (культурной, культурно-спортивной, патриотической направленности) и иных мероприятий.</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от 05.04.2013 № 44-ФЗ.</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Копии указанных документов должны быть представлены в полном объеме со всеми приложениями, являющимися их неотъемлемой частью (должны быть представлены все страницы контрактов (договоров), а также актов оказанных услуг). При этом представленные документы должны быть в виде неповторяющихся, полно читаемых копий, на которых видны необходимые сведения, подписи и печати.</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В случае если контракты (договоры) заключены в электронной форме, опыт может быть подтвержден размещенными на сайте Единой информационной системы в сфере закупок 2акирк!.дог.ги «Информацией о заключенном контракте (его изменении)» и «Информацией об исполнении (орасторжении) контракта» при условии предоставления в составе заявки формы «Сводные сведения о наличии у участников закупки опыта работы, связанного с предметом контракта»</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содержащей данные о реестровом номере закупки, номере контракта (договора), дате заключения, предмете, сумме контракта (договора), дате исполнения контракта (договора).</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Рекомендуемая форма «Сводные сведения о наличии у участников закупки опыта работы, связанного с предметом контракта» приведена в Приложении 1 к настоящим критериям оценки заявок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Непредоставление в составе второй части заявки на участие в открытом конкурсе таких документов не является основанием для отказа в допуске к участию в открытом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второй части заявки на участие в открытом конкурсе либо информацией, размещенной на сайте Единой информационной системы в сфере закупок 2С1к11рк1.д()\\ги</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составе жалобы Заявитель указывает, что согласно установленному порядку оценки и рассмотрения заявок по критерию «Квалификация» (Опыт участника по успешному выполнению работ, оказанию услуг сопоставимого характера и объема) заявка оценивается по показателю </w:t>
      </w:r>
      <w:r>
        <w:rPr>
          <w:b/>
          <w:bCs/>
          <w:color w:val="000000"/>
          <w:spacing w:val="0"/>
          <w:w w:val="100"/>
          <w:position w:val="0"/>
          <w:shd w:val="clear" w:color="auto" w:fill="auto"/>
          <w:lang w:val="ru-RU" w:eastAsia="ru-RU" w:bidi="ru-RU"/>
        </w:rPr>
        <w:t>«Общая цена исполненных участником закупки договоров»</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Заявитель указывает, что заявке ИП Марьинский К.А. по данному показателю присвоено максимальное количество баллов, при этом данный участник по данным из реестра контрактов имеет опыт на общую сумму 262 988 242,00 рублей, что в разы меньше исполненных контрактов Заявителем.</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в жалобе также отмечает, что есть основания полагать о том, что представленный договор является сфальсифицированным, ввиду чего такая заявка подлежала отклонению.</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 согласившись с доводами жалобы представитель Заказчика пояснил, что рассмотрение и оценка заявок на участие в конкурсе осуществлялась в соответствии с нормами Закона о контрактной системе и установленным в извещении об осуществлении закупки порядком оценки.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Так, согласно установленному порядку оценки, Заказчиком использован детализирующий показатель </w:t>
      </w:r>
      <w:r>
        <w:rPr>
          <w:b/>
          <w:bCs/>
          <w:color w:val="000000"/>
          <w:spacing w:val="0"/>
          <w:w w:val="100"/>
          <w:position w:val="0"/>
          <w:shd w:val="clear" w:color="auto" w:fill="auto"/>
          <w:lang w:val="ru-RU" w:eastAsia="ru-RU" w:bidi="ru-RU"/>
        </w:rPr>
        <w:t>«Наибольшая цена одного из исполненных участником закупки договоров»</w:t>
      </w:r>
      <w:r>
        <w:rPr>
          <w:color w:val="000000"/>
          <w:spacing w:val="0"/>
          <w:w w:val="100"/>
          <w:position w:val="0"/>
          <w:shd w:val="clear" w:color="auto" w:fill="auto"/>
          <w:lang w:val="ru-RU" w:eastAsia="ru-RU" w:bidi="ru-RU"/>
        </w:rPr>
        <w:t>, согласно описанию которого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заявки ИП Марьинский К.А. представлены сведения в отношении гражданско-правового договора №168/23/К от 30.05.2023 на сумму 230 945 800,00 рублей), заключенного в рамках гражданского законодательства, что отвечает требованиям порядка оценки и не противоречит требованиям законодательства о контрактной системе. Основания полагать, что представленный договор несет в себе недостоверную информацию у комиссии Заказчика отсутствовали.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принимая во внимание пояснения Заказчика, установлено, что комиссией по осуществлению закупок согласно порядку оценки рассмотрена не общая цена исполненных участником закупки договоров, а цена одного из исполненных таким участником закупки договоров.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в заявке ИП Марьинский К.А. наибольшая цена одного из исполненных участником закупки договоров составляет 230 945 800,00 руб, в то время как в заявке Заявителя представлен договор с максимальной стоимостью равной 13 722 340,00 руб., ввиду чего Комиссия Управления приходит к выводу о том, что комиссией Заказчика соблюден порядок рассмотрения заявок на участие в закупке.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считает также необходимым отметить, что под недостоверными сведениями следует понимать сведения, не соответствующие действительно сти.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свою очередь, исходя из правовой позиции Верховного Суда Российской Федерации, изложенной в постановлении от 24.02.2005 № 3 «О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 (п. 7). Кроме того, предоставленное заказчику право отклонить поданную заявку в случае обнаружения в ней недостоверных сведений на любом этапе проведения процедуры свидетельствует о том, что располагать такой информацией заказчик должен непосредственно на момент принятия соответствующего решения (отказ в допуске либо отказ от заключения договора), </w:t>
      </w:r>
      <w:r>
        <w:rPr>
          <w:i/>
          <w:iCs/>
          <w:color w:val="000000"/>
          <w:spacing w:val="0"/>
          <w:w w:val="100"/>
          <w:position w:val="0"/>
          <w:shd w:val="clear" w:color="auto" w:fill="auto"/>
          <w:lang w:val="ru-RU" w:eastAsia="ru-RU" w:bidi="ru-RU"/>
        </w:rPr>
        <w:t>причем располагать именно доказательствами такой недостоверности, но не руководствоваться предположениями.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как следует из материалов дела, поданная ИП Марьинский К.А. заявка требованиям извещения об осуществлении закупки соответствует. Каких-либо оснований сомневаться в достоверности представленных в них сведений в контексте ч. 5 ст. 10 Гражданского кодекса Российской Федерации (ГК РФ) (в силу которой добросовестность участников гражданских правоотношений и разумность их действий предполагаются) у Заказчика не имелось, неопровержимыми доказательствами недостоверности таких сведений последний не располагал.</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целях соблюдения баланса частных и публичных интересов (на необходимость соблюдения которого указал Конституционный Суд Российской Федерации в постановлении от 29.03.2011 № 2-П) и принципа стабильности публичных правоотношений, но также и принципов добросовестной реализации прав и законных интересов (ч. 3 ст. 1 ГК РФ), недопустимости извлечения преимуществ из своего незаконного или недобросовестного поведения (ч. 4 ст. 1 ГК РФ), недопустимости злоупотребления правом (ч. 1 ст. 10 ГК РФ) для принятия решения об отказе участнику закупки в допуске к ней заказчику необходимо располагать письменным документальным подтверждением наличия в составе заявки такого участника недостоверной информации.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то же время, как следует из материалов дела в настоящем случае, такого подтверждения в материалы дела представлено не было, а потому и правовых оснований к отклонению заявки участника у комиссии Заказчика не имелось, вопреки утверждению Заявителя об обратном.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на основании вышеизложенного Комиссия Управления приходит к выводу, что доводы Заявителя не нашли своего подтверждения и являются необоснованными.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9"/>
        <w:keepNext w:val="0"/>
        <w:keepLines w:val="0"/>
        <w:widowControl w:val="0"/>
        <w:shd w:val="clear" w:color="auto" w:fill="auto"/>
        <w:bidi w:val="0"/>
        <w:spacing w:before="0" w:after="1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numPr>
          <w:ilvl w:val="0"/>
          <w:numId w:val="5"/>
        </w:numPr>
        <w:shd w:val="clear" w:color="auto" w:fill="auto"/>
        <w:tabs>
          <w:tab w:pos="1126" w:val="left"/>
        </w:tabs>
        <w:bidi w:val="0"/>
        <w:spacing w:before="0" w:after="0" w:line="240" w:lineRule="auto"/>
        <w:ind w:left="0" w:right="0" w:firstLine="840"/>
        <w:jc w:val="both"/>
      </w:pPr>
      <w:r>
        <w:rPr>
          <w:color w:val="000000"/>
          <w:spacing w:val="0"/>
          <w:w w:val="100"/>
          <w:position w:val="0"/>
          <w:shd w:val="clear" w:color="auto" w:fill="auto"/>
          <w:lang w:val="ru-RU" w:eastAsia="ru-RU" w:bidi="ru-RU"/>
        </w:rPr>
        <w:t>.Признать жалобу ООО «Артокс» на действия комиссии ГБУ «МДН» необоснованной.</w:t>
      </w:r>
    </w:p>
    <w:p>
      <w:pPr>
        <w:pStyle w:val="Style9"/>
        <w:keepNext w:val="0"/>
        <w:keepLines w:val="0"/>
        <w:widowControl w:val="0"/>
        <w:numPr>
          <w:ilvl w:val="0"/>
          <w:numId w:val="5"/>
        </w:numPr>
        <w:shd w:val="clear" w:color="auto" w:fill="auto"/>
        <w:tabs>
          <w:tab w:pos="1146" w:val="left"/>
        </w:tabs>
        <w:bidi w:val="0"/>
        <w:spacing w:before="0" w:after="280" w:line="240" w:lineRule="auto"/>
        <w:ind w:left="0" w:right="0" w:firstLine="84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Московским УФАС России.</w:t>
      </w:r>
    </w:p>
    <w:p>
      <w:pPr>
        <w:pStyle w:val="Style9"/>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1158" w:right="535" w:bottom="1187" w:left="1097" w:header="0" w:footer="3" w:gutter="0"/>
          <w:cols w:space="720"/>
          <w:noEndnote/>
          <w:rtlGutter w:val="0"/>
          <w:docGrid w:linePitch="360"/>
        </w:sectPr>
      </w:pPr>
      <w:r>
        <mc:AlternateContent>
          <mc:Choice Requires="wps">
            <w:drawing>
              <wp:anchor distT="127000" distB="201295" distL="0" distR="0" simplePos="0" relativeHeight="125829379" behindDoc="0" locked="0" layoutInCell="1" allowOverlap="1">
                <wp:simplePos x="0" y="0"/>
                <wp:positionH relativeFrom="page">
                  <wp:posOffset>730250</wp:posOffset>
                </wp:positionH>
                <wp:positionV relativeFrom="paragraph">
                  <wp:posOffset>127000</wp:posOffset>
                </wp:positionV>
                <wp:extent cx="1850390" cy="252730"/>
                <wp:wrapTopAndBottom/>
                <wp:docPr id="15" name="Shape 15"/>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7.5pt;margin-top:10.pt;width:145.70000000000002pt;height:19.900000000000002pt;z-index:-125829374;mso-wrap-distance-left:0;mso-wrap-distance-top:10.pt;mso-wrap-distance-right:0;mso-wrap-distance-bottom:15.8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18440" distB="0" distL="0" distR="1807210" simplePos="0" relativeHeight="125829381" behindDoc="0" locked="0" layoutInCell="1" allowOverlap="1">
            <wp:simplePos x="0" y="0"/>
            <wp:positionH relativeFrom="page">
              <wp:posOffset>3126105</wp:posOffset>
            </wp:positionH>
            <wp:positionV relativeFrom="paragraph">
              <wp:posOffset>218440</wp:posOffset>
            </wp:positionV>
            <wp:extent cx="311150" cy="36576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3519170</wp:posOffset>
                </wp:positionH>
                <wp:positionV relativeFrom="paragraph">
                  <wp:posOffset>291465</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7.10000000000002pt;margin-top:22.949999999999999pt;width:135.84999999999999pt;height:20.150000000000002pt;z-index:251657729;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01295" distL="0" distR="0" simplePos="0" relativeHeight="125829382" behindDoc="0" locked="0" layoutInCell="1" allowOverlap="1">
                <wp:simplePos x="0" y="0"/>
                <wp:positionH relativeFrom="page">
                  <wp:posOffset>6033770</wp:posOffset>
                </wp:positionH>
                <wp:positionV relativeFrom="paragraph">
                  <wp:posOffset>127000</wp:posOffset>
                </wp:positionV>
                <wp:extent cx="1182370" cy="252730"/>
                <wp:wrapTopAndBottom/>
                <wp:docPr id="21" name="Shape 21"/>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7" type="#_x0000_t202" style="position:absolute;margin-left:475.10000000000002pt;margin-top:10.pt;width:93.100000000000009pt;height:19.900000000000002pt;z-index:-125829371;mso-wrap-distance-left:0;mso-wrap-distance-top:10.pt;mso-wrap-distance-right:0;mso-wrap-distance-bottom:15.8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9"/>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4520" w:right="0" w:firstLine="0"/>
        <w:jc w:val="left"/>
        <w:rPr>
          <w:sz w:val="11"/>
          <w:szCs w:val="11"/>
        </w:rPr>
      </w:pPr>
      <w:r>
        <w:rPr>
          <w:color w:val="E8E8E8"/>
          <w:spacing w:val="0"/>
          <w:w w:val="100"/>
          <w:position w:val="0"/>
          <w:sz w:val="11"/>
          <w:szCs w:val="11"/>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9"/>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00Е9СРАА6ЭО6САО20О424А9502ЕС296Е8</w:t>
      </w:r>
      <w:r>
        <w:rPr>
          <w:color w:val="272727"/>
          <w:spacing w:val="0"/>
          <w:w w:val="100"/>
          <w:position w:val="0"/>
          <w:shd w:val="clear" w:color="auto" w:fill="auto"/>
          <w:lang w:val="ru-RU" w:eastAsia="ru-RU" w:bidi="ru-RU"/>
        </w:rPr>
        <w:t>;</w:t>
      </w:r>
    </w:p>
    <w:p>
      <w:pPr>
        <w:pStyle w:val="Style29"/>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72727"/>
          <w:spacing w:val="0"/>
          <w:w w:val="100"/>
          <w:position w:val="0"/>
          <w:shd w:val="clear" w:color="auto" w:fill="auto"/>
          <w:lang w:val="ru-RU" w:eastAsia="ru-RU" w:bidi="ru-RU"/>
        </w:rPr>
        <w:t xml:space="preserve">22.12.2022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16.03.2024</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390" w:line="240" w:lineRule="auto"/>
        <w:ind w:left="0" w:right="0" w:firstLine="0"/>
        <w:jc w:val="right"/>
      </w:pPr>
      <w:r>
        <w:drawing>
          <wp:anchor distT="0" distB="0" distL="114300" distR="1903730" simplePos="0" relativeHeight="125829384" behindDoc="0" locked="0" layoutInCell="1" allowOverlap="1">
            <wp:simplePos x="0" y="0"/>
            <wp:positionH relativeFrom="page">
              <wp:posOffset>3101340</wp:posOffset>
            </wp:positionH>
            <wp:positionV relativeFrom="paragraph">
              <wp:posOffset>50800</wp:posOffset>
            </wp:positionV>
            <wp:extent cx="353695" cy="40259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7"/>
                    <a:stretch/>
                  </pic:blipFill>
                  <pic:spPr>
                    <a:xfrm>
                      <a:ext cx="353695" cy="4025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3519170</wp:posOffset>
                </wp:positionH>
                <wp:positionV relativeFrom="paragraph">
                  <wp:posOffset>142240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10000000000002pt;margin-top:11.200000000000001pt;width:135.84999999999999pt;height:20.150000000000002pt;z-index:251657731;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Кутейников Антон Андреевич</w:t>
      </w:r>
    </w:p>
    <w:p>
      <w:pPr>
        <w:pStyle w:val="Style29"/>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6366183222Р5ОСЕ2САЗЕ6Э732820С91 </w:t>
      </w:r>
      <w:r>
        <w:rPr>
          <w:color w:val="272727"/>
          <w:spacing w:val="0"/>
          <w:w w:val="100"/>
          <w:position w:val="0"/>
          <w:shd w:val="clear" w:color="auto" w:fill="auto"/>
          <w:lang w:val="ru-RU" w:eastAsia="ru-RU" w:bidi="ru-RU"/>
        </w:rPr>
        <w:t>С</w:t>
      </w:r>
    </w:p>
    <w:p>
      <w:pPr>
        <w:pStyle w:val="Style29"/>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23.01.2023 по 17.04.2024</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5" behindDoc="0" locked="0" layoutInCell="1" allowOverlap="1">
            <wp:simplePos x="0" y="0"/>
            <wp:positionH relativeFrom="page">
              <wp:posOffset>3068320</wp:posOffset>
            </wp:positionH>
            <wp:positionV relativeFrom="paragraph">
              <wp:posOffset>25400</wp:posOffset>
            </wp:positionV>
            <wp:extent cx="389890" cy="57277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9"/>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3564890</wp:posOffset>
                </wp:positionH>
                <wp:positionV relativeFrom="paragraph">
                  <wp:posOffset>461010</wp:posOffset>
                </wp:positionV>
                <wp:extent cx="1280160" cy="103505"/>
                <wp:wrapNone/>
                <wp:docPr id="29" name="Shape 2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80.69999999999999pt;margin-top:36.300000000000004pt;width:100.8pt;height:8.1500000000000004pt;z-index:251657733;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3519170</wp:posOffset>
                </wp:positionH>
                <wp:positionV relativeFrom="paragraph">
                  <wp:posOffset>150495</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10000000000002pt;margin-top:11.85pt;width:135.84999999999999pt;height:20.150000000000002pt;z-index:251657735;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9"/>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Гугава Эдуард Звиадович</w:t>
      </w:r>
    </w:p>
    <w:p>
      <w:pPr>
        <w:pStyle w:val="Style29"/>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84848"/>
          <w:spacing w:val="0"/>
          <w:w w:val="100"/>
          <w:position w:val="0"/>
          <w:shd w:val="clear" w:color="auto" w:fill="auto"/>
          <w:lang w:val="ru-RU" w:eastAsia="ru-RU" w:bidi="ru-RU"/>
        </w:rPr>
        <w:t>6281 Е5АЕВ0О2ЭВЕ2АООСЕ65248493Е7С</w:t>
      </w:r>
    </w:p>
    <w:p>
      <w:pPr>
        <w:pStyle w:val="Style29"/>
        <w:keepNext w:val="0"/>
        <w:keepLines w:val="0"/>
        <w:widowControl w:val="0"/>
        <w:shd w:val="clear" w:color="auto" w:fill="auto"/>
        <w:bidi w:val="0"/>
        <w:spacing w:before="0" w:after="36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84848"/>
          <w:spacing w:val="0"/>
          <w:w w:val="100"/>
          <w:position w:val="0"/>
          <w:shd w:val="clear" w:color="auto" w:fill="auto"/>
          <w:lang w:val="ru-RU" w:eastAsia="ru-RU" w:bidi="ru-RU"/>
        </w:rPr>
        <w:t xml:space="preserve">13.04.2023 </w:t>
      </w:r>
      <w:r>
        <w:rPr>
          <w:spacing w:val="0"/>
          <w:w w:val="100"/>
          <w:position w:val="0"/>
          <w:shd w:val="clear" w:color="auto" w:fill="auto"/>
          <w:lang w:val="ru-RU" w:eastAsia="ru-RU" w:bidi="ru-RU"/>
        </w:rPr>
        <w:t xml:space="preserve">по </w:t>
      </w:r>
      <w:r>
        <w:rPr>
          <w:color w:val="484848"/>
          <w:spacing w:val="0"/>
          <w:w w:val="100"/>
          <w:position w:val="0"/>
          <w:shd w:val="clear" w:color="auto" w:fill="auto"/>
          <w:lang w:val="ru-RU" w:eastAsia="ru-RU" w:bidi="ru-RU"/>
        </w:rPr>
        <w:t>06.07.2024</w:t>
      </w:r>
    </w:p>
    <w:p>
      <w:pPr>
        <w:pStyle w:val="Style3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Исп.Гугава Э.З.</w:t>
      </w:r>
    </w:p>
    <w:p>
      <w:pPr>
        <w:pStyle w:val="Style38"/>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тел.495-784-75-05 вн.</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721360</wp:posOffset>
              </wp:positionH>
              <wp:positionV relativeFrom="page">
                <wp:posOffset>10165080</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2023-61325</w:t>
                          </w:r>
                        </w:p>
                      </w:txbxContent>
                    </wps:txbx>
                    <wps:bodyPr wrap="none" lIns="0" tIns="0" rIns="0" bIns="0">
                      <a:spAutoFit/>
                    </wps:bodyPr>
                  </wps:wsp>
                </a:graphicData>
              </a:graphic>
            </wp:anchor>
          </w:drawing>
        </mc:Choice>
        <mc:Fallback>
          <w:pict>
            <v:shape id="_x0000_s1031" type="#_x0000_t202" style="position:absolute;margin-left:56.800000000000004pt;margin-top:800.39999999999998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2023-61325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720090</wp:posOffset>
              </wp:positionH>
              <wp:positionV relativeFrom="page">
                <wp:posOffset>10231120</wp:posOffset>
              </wp:positionV>
              <wp:extent cx="719455" cy="100330"/>
              <wp:wrapNone/>
              <wp:docPr id="7" name="Shape 7"/>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2023-61325</w:t>
                          </w:r>
                        </w:p>
                      </w:txbxContent>
                    </wps:txbx>
                    <wps:bodyPr wrap="none" lIns="0" tIns="0" rIns="0" bIns="0">
                      <a:spAutoFit/>
                    </wps:bodyPr>
                  </wps:wsp>
                </a:graphicData>
              </a:graphic>
            </wp:anchor>
          </w:drawing>
        </mc:Choice>
        <mc:Fallback>
          <w:pict>
            <v:shape id="_x0000_s1033" type="#_x0000_t202" style="position:absolute;margin-left:56.700000000000003pt;margin-top:805.60000000000002pt;width:56.6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2023-61325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721360</wp:posOffset>
              </wp:positionH>
              <wp:positionV relativeFrom="page">
                <wp:posOffset>10165080</wp:posOffset>
              </wp:positionV>
              <wp:extent cx="722630" cy="100330"/>
              <wp:wrapNone/>
              <wp:docPr id="13" name="Shape 1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2023-61325</w:t>
                          </w:r>
                        </w:p>
                      </w:txbxContent>
                    </wps:txbx>
                    <wps:bodyPr wrap="none" lIns="0" tIns="0" rIns="0" bIns="0">
                      <a:spAutoFit/>
                    </wps:bodyPr>
                  </wps:wsp>
                </a:graphicData>
              </a:graphic>
            </wp:anchor>
          </w:drawing>
        </mc:Choice>
        <mc:Fallback>
          <w:pict>
            <v:shape id="_x0000_s1039" type="#_x0000_t202" style="position:absolute;margin-left:56.800000000000004pt;margin-top:800.39999999999998pt;width:56.89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2023-61325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3921760</wp:posOffset>
              </wp:positionH>
              <wp:positionV relativeFrom="page">
                <wp:posOffset>476250</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8.80000000000001pt;margin-top:37.5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3930015</wp:posOffset>
              </wp:positionH>
              <wp:positionV relativeFrom="page">
                <wp:posOffset>389890</wp:posOffset>
              </wp:positionV>
              <wp:extent cx="57785" cy="103505"/>
              <wp:wrapNone/>
              <wp:docPr id="9" name="Shape 9"/>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9.44999999999999pt;margin-top:30.699999999999999pt;width:4.5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3921760</wp:posOffset>
              </wp:positionH>
              <wp:positionV relativeFrom="page">
                <wp:posOffset>476250</wp:posOffset>
              </wp:positionV>
              <wp:extent cx="64135" cy="103505"/>
              <wp:wrapNone/>
              <wp:docPr id="11" name="Shape 11"/>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8.80000000000001pt;margin-top:37.5pt;width:5.0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Колонтитул (2)_"/>
    <w:basedOn w:val="DefaultParagraphFont"/>
    <w:link w:val="Style6"/>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Заголовок №1_"/>
    <w:basedOn w:val="DefaultParagraphFont"/>
    <w:link w:val="Style17"/>
    <w:rPr>
      <w:rFonts w:ascii="Times New Roman" w:eastAsia="Times New Roman" w:hAnsi="Times New Roman" w:cs="Times New Roman"/>
      <w:b/>
      <w:bCs/>
      <w:i w:val="0"/>
      <w:iCs w:val="0"/>
      <w:smallCaps w:val="0"/>
      <w:strike w:val="0"/>
      <w:sz w:val="28"/>
      <w:szCs w:val="28"/>
      <w:u w:val="none"/>
    </w:rPr>
  </w:style>
  <w:style w:type="character" w:customStyle="1" w:styleId="CharStyle21">
    <w:name w:val="Основной текст (5)_"/>
    <w:basedOn w:val="DefaultParagraphFont"/>
    <w:link w:val="Style20"/>
    <w:rPr>
      <w:rFonts w:ascii="Arial" w:eastAsia="Arial" w:hAnsi="Arial" w:cs="Arial"/>
      <w:b w:val="0"/>
      <w:bCs w:val="0"/>
      <w:i w:val="0"/>
      <w:iCs w:val="0"/>
      <w:smallCaps w:val="0"/>
      <w:strike w:val="0"/>
      <w:sz w:val="34"/>
      <w:szCs w:val="34"/>
      <w:u w:val="none"/>
    </w:rPr>
  </w:style>
  <w:style w:type="character" w:customStyle="1" w:styleId="CharStyle26">
    <w:name w:val="Подпись к картинке_"/>
    <w:basedOn w:val="DefaultParagraphFont"/>
    <w:link w:val="Style25"/>
    <w:rPr>
      <w:rFonts w:ascii="Georgia" w:eastAsia="Georgia" w:hAnsi="Georgia" w:cs="Georgia"/>
      <w:b w:val="0"/>
      <w:bCs w:val="0"/>
      <w:i w:val="0"/>
      <w:iCs w:val="0"/>
      <w:smallCaps w:val="0"/>
      <w:strike w:val="0"/>
      <w:color w:val="272727"/>
      <w:sz w:val="11"/>
      <w:szCs w:val="11"/>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636363"/>
      <w:sz w:val="12"/>
      <w:szCs w:val="12"/>
      <w:u w:val="none"/>
    </w:rPr>
  </w:style>
  <w:style w:type="character" w:customStyle="1" w:styleId="CharStyle39">
    <w:name w:val="Основной текст (4)_"/>
    <w:basedOn w:val="DefaultParagraphFont"/>
    <w:link w:val="Style3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line="223" w:lineRule="auto"/>
      <w:ind w:left="340" w:firstLine="520"/>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Колонтитул (2)"/>
    <w:basedOn w:val="Normal"/>
    <w:link w:val="CharStyle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Заголовок №1"/>
    <w:basedOn w:val="Normal"/>
    <w:link w:val="CharStyle18"/>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0">
    <w:name w:val="Основной текст (5)"/>
    <w:basedOn w:val="Normal"/>
    <w:link w:val="CharStyle21"/>
    <w:pPr>
      <w:widowControl w:val="0"/>
      <w:shd w:val="clear" w:color="auto" w:fill="auto"/>
      <w:spacing w:after="220"/>
      <w:ind w:firstLine="340"/>
    </w:pPr>
    <w:rPr>
      <w:rFonts w:ascii="Arial" w:eastAsia="Arial" w:hAnsi="Arial" w:cs="Arial"/>
      <w:b w:val="0"/>
      <w:bCs w:val="0"/>
      <w:i w:val="0"/>
      <w:iCs w:val="0"/>
      <w:smallCaps w:val="0"/>
      <w:strike w:val="0"/>
      <w:sz w:val="34"/>
      <w:szCs w:val="34"/>
      <w:u w:val="none"/>
    </w:rPr>
  </w:style>
  <w:style w:type="paragraph" w:customStyle="1" w:styleId="Style25">
    <w:name w:val="Подпись к картинке"/>
    <w:basedOn w:val="Normal"/>
    <w:link w:val="CharStyle26"/>
    <w:pPr>
      <w:widowControl w:val="0"/>
      <w:shd w:val="clear" w:color="auto" w:fill="auto"/>
    </w:pPr>
    <w:rPr>
      <w:rFonts w:ascii="Georgia" w:eastAsia="Georgia" w:hAnsi="Georgia" w:cs="Georgia"/>
      <w:b w:val="0"/>
      <w:bCs w:val="0"/>
      <w:i w:val="0"/>
      <w:iCs w:val="0"/>
      <w:smallCaps w:val="0"/>
      <w:strike w:val="0"/>
      <w:color w:val="272727"/>
      <w:sz w:val="11"/>
      <w:szCs w:val="11"/>
      <w:u w:val="none"/>
    </w:rPr>
  </w:style>
  <w:style w:type="paragraph" w:customStyle="1" w:styleId="Style29">
    <w:name w:val="Основной текст (2)"/>
    <w:basedOn w:val="Normal"/>
    <w:link w:val="CharStyle30"/>
    <w:pPr>
      <w:widowControl w:val="0"/>
      <w:shd w:val="clear" w:color="auto" w:fill="auto"/>
      <w:spacing w:after="40"/>
      <w:ind w:left="3820"/>
    </w:pPr>
    <w:rPr>
      <w:rFonts w:ascii="Arial" w:eastAsia="Arial" w:hAnsi="Arial" w:cs="Arial"/>
      <w:b w:val="0"/>
      <w:bCs w:val="0"/>
      <w:i w:val="0"/>
      <w:iCs w:val="0"/>
      <w:smallCaps w:val="0"/>
      <w:strike w:val="0"/>
      <w:color w:val="636363"/>
      <w:sz w:val="12"/>
      <w:szCs w:val="12"/>
      <w:u w:val="none"/>
    </w:rPr>
  </w:style>
  <w:style w:type="paragraph" w:customStyle="1" w:styleId="Style38">
    <w:name w:val="Основной текст (4)"/>
    <w:basedOn w:val="Normal"/>
    <w:link w:val="CharStyle39"/>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