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19" w:after="19" w:line="240" w:lineRule="exact"/>
        <w:rPr>
          <w:sz w:val="19"/>
          <w:szCs w:val="19"/>
        </w:rPr>
      </w:pPr>
    </w:p>
    <w:p>
      <w:pPr>
        <w:widowControl w:val="0"/>
        <w:spacing w:line="1" w:lineRule="exact"/>
        <w:sectPr>
          <w:footerReference w:type="default" r:id="rId5"/>
          <w:footerReference w:type="first" r:id="rId6"/>
          <w:footnotePr>
            <w:pos w:val="pageBottom"/>
            <w:numFmt w:val="decimal"/>
            <w:numRestart w:val="continuous"/>
          </w:footnotePr>
          <w:pgSz w:w="11900" w:h="16840"/>
          <w:pgMar w:top="1063" w:right="507" w:bottom="1207" w:left="1082" w:header="0" w:footer="3" w:gutter="0"/>
          <w:pgNumType w:start="1"/>
          <w:cols w:space="720"/>
          <w:noEndnote/>
          <w:titlePg/>
          <w:rtlGutter w:val="0"/>
          <w:docGrid w:linePitch="360"/>
        </w:sectPr>
      </w:pPr>
    </w:p>
    <w:p>
      <w:pPr>
        <w:pStyle w:val="Style17"/>
        <w:keepNext w:val="0"/>
        <w:keepLines w:val="0"/>
        <w:widowControl w:val="0"/>
        <w:shd w:val="clear" w:color="auto" w:fill="auto"/>
        <w:bidi w:val="0"/>
        <w:spacing w:before="0" w:after="0" w:line="276" w:lineRule="auto"/>
        <w:ind w:left="1160" w:right="0" w:firstLine="20"/>
        <w:jc w:val="left"/>
      </w:pPr>
      <w:r>
        <mc:AlternateContent>
          <mc:Choice Requires="wps">
            <w:drawing>
              <wp:anchor distT="0" distB="1805940" distL="518795" distR="327025" simplePos="0" relativeHeight="125829378" behindDoc="0" locked="0" layoutInCell="1" allowOverlap="1">
                <wp:simplePos x="0" y="0"/>
                <wp:positionH relativeFrom="page">
                  <wp:posOffset>1128395</wp:posOffset>
                </wp:positionH>
                <wp:positionV relativeFrom="paragraph">
                  <wp:posOffset>139700</wp:posOffset>
                </wp:positionV>
                <wp:extent cx="1831340" cy="315595"/>
                <wp:wrapSquare wrapText="right"/>
                <wp:docPr id="5" name="Shape 5"/>
                <a:graphic xmlns:a="http://schemas.openxmlformats.org/drawingml/2006/main">
                  <a:graphicData uri="http://schemas.microsoft.com/office/word/2010/wordprocessingShape">
                    <wps:wsp>
                      <wps:cNvSpPr txBox="1"/>
                      <wps:spPr>
                        <a:xfrm>
                          <a:ext cx="1831340" cy="315595"/>
                        </a:xfrm>
                        <a:prstGeom prst="rect"/>
                        <a:noFill/>
                      </wps:spPr>
                      <wps:txbx>
                        <w:txbxContent>
                          <w:p>
                            <w:pPr>
                              <w:pStyle w:val="Style5"/>
                              <w:keepNext w:val="0"/>
                              <w:keepLines w:val="0"/>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 ЖБА</w:t>
                            </w:r>
                          </w:p>
                        </w:txbxContent>
                      </wps:txbx>
                      <wps:bodyPr lIns="0" tIns="0" rIns="0" bIns="0">
                        <a:noAutoFit/>
                      </wps:bodyPr>
                    </wps:wsp>
                  </a:graphicData>
                </a:graphic>
              </wp:anchor>
            </w:drawing>
          </mc:Choice>
          <mc:Fallback>
            <w:pict>
              <v:shape id="_x0000_s1031" type="#_x0000_t202" style="position:absolute;margin-left:88.850000000000009pt;margin-top:11.pt;width:144.20000000000002pt;height:24.850000000000001pt;z-index:-125829375;mso-wrap-distance-left:40.850000000000001pt;mso-wrap-distance-right:25.75pt;mso-wrap-distance-bottom:142.20000000000002pt;mso-position-horizontal-relative:page" filled="f" stroked="f">
                <v:textbox inset="0,0,0,0">
                  <w:txbxContent>
                    <w:p>
                      <w:pPr>
                        <w:pStyle w:val="Style5"/>
                        <w:keepNext w:val="0"/>
                        <w:keepLines w:val="0"/>
                        <w:widowControl w:val="0"/>
                        <w:shd w:val="clear" w:color="auto" w:fill="auto"/>
                        <w:bidi w:val="0"/>
                        <w:spacing w:before="0" w:after="4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АНТИМОНОПОЛЬНАЯ СЛУ ЖБА</w:t>
                      </w:r>
                    </w:p>
                  </w:txbxContent>
                </v:textbox>
                <w10:wrap type="square" side="right" anchorx="page"/>
              </v:shape>
            </w:pict>
          </mc:Fallback>
        </mc:AlternateContent>
      </w:r>
      <w:r>
        <mc:AlternateContent>
          <mc:Choice Requires="wps">
            <w:drawing>
              <wp:anchor distT="418465" distB="708660" distL="304165" distR="114300" simplePos="0" relativeHeight="125829380" behindDoc="0" locked="0" layoutInCell="1" allowOverlap="1">
                <wp:simplePos x="0" y="0"/>
                <wp:positionH relativeFrom="page">
                  <wp:posOffset>913765</wp:posOffset>
                </wp:positionH>
                <wp:positionV relativeFrom="paragraph">
                  <wp:posOffset>558165</wp:posOffset>
                </wp:positionV>
                <wp:extent cx="2258695" cy="994410"/>
                <wp:wrapSquare wrapText="right"/>
                <wp:docPr id="7" name="Shape 7"/>
                <a:graphic xmlns:a="http://schemas.openxmlformats.org/drawingml/2006/main">
                  <a:graphicData uri="http://schemas.microsoft.com/office/word/2010/wordprocessingShape">
                    <wps:wsp>
                      <wps:cNvSpPr txBox="1"/>
                      <wps:spPr>
                        <a:xfrm>
                          <a:ext cx="2258695" cy="994410"/>
                        </a:xfrm>
                        <a:prstGeom prst="rect"/>
                        <a:noFill/>
                      </wps:spPr>
                      <wps:txbx>
                        <w:txbxContent>
                          <w:p>
                            <w:pPr>
                              <w:pStyle w:val="Style7"/>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 ч «монопольной службы</w:t>
                              <w:br/>
                              <w:t>но Курганской области</w:t>
                            </w:r>
                          </w:p>
                          <w:p>
                            <w:pPr>
                              <w:pStyle w:val="Style9"/>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М. Горького, 40, г. Курган. 640020</w:t>
                              <w:br/>
                              <w:t>тел. (3522) 46-39-55. факс (3522) 46-39-85</w:t>
                              <w:br/>
                              <w:t>е-таП: 1о45(б’:Га8.)1ОУ.ги</w:t>
                            </w:r>
                          </w:p>
                        </w:txbxContent>
                      </wps:txbx>
                      <wps:bodyPr lIns="0" tIns="0" rIns="0" bIns="0">
                        <a:noAutoFit/>
                      </wps:bodyPr>
                    </wps:wsp>
                  </a:graphicData>
                </a:graphic>
              </wp:anchor>
            </w:drawing>
          </mc:Choice>
          <mc:Fallback>
            <w:pict>
              <v:shape id="_x0000_s1033" type="#_x0000_t202" style="position:absolute;margin-left:71.950000000000003pt;margin-top:43.950000000000003pt;width:177.84999999999999pt;height:78.299999999999997pt;z-index:-125829373;mso-wrap-distance-left:23.949999999999999pt;mso-wrap-distance-top:32.950000000000003pt;mso-wrap-distance-right:9.pt;mso-wrap-distance-bottom:55.800000000000004pt;mso-position-horizontal-relative:page" filled="f" stroked="f">
                <v:textbox inset="0,0,0,0">
                  <w:txbxContent>
                    <w:p>
                      <w:pPr>
                        <w:pStyle w:val="Style7"/>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УПРАВЛЕНИЕ</w:t>
                        <w:br/>
                        <w:t>Федеральной ан ч «монопольной службы</w:t>
                        <w:br/>
                        <w:t>но Курганской области</w:t>
                      </w:r>
                    </w:p>
                    <w:p>
                      <w:pPr>
                        <w:pStyle w:val="Style9"/>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М. Горького, 40, г. Курган. 640020</w:t>
                        <w:br/>
                        <w:t>тел. (3522) 46-39-55. факс (3522) 46-39-85</w:t>
                        <w:br/>
                        <w:t>е-таП: 1о45(б’:Га8.)1ОУ.ги</w:t>
                      </w:r>
                    </w:p>
                  </w:txbxContent>
                </v:textbox>
                <w10:wrap type="square" side="right" anchorx="page"/>
              </v:shape>
            </w:pict>
          </mc:Fallback>
        </mc:AlternateContent>
      </w:r>
      <w:r>
        <mc:AlternateContent>
          <mc:Choice Requires="wps">
            <w:drawing>
              <wp:anchor distT="1579880" distB="0" distL="114300" distR="1148080" simplePos="0" relativeHeight="125829382" behindDoc="0" locked="0" layoutInCell="1" allowOverlap="1">
                <wp:simplePos x="0" y="0"/>
                <wp:positionH relativeFrom="page">
                  <wp:posOffset>723900</wp:posOffset>
                </wp:positionH>
                <wp:positionV relativeFrom="paragraph">
                  <wp:posOffset>1719580</wp:posOffset>
                </wp:positionV>
                <wp:extent cx="1414780" cy="541655"/>
                <wp:wrapSquare wrapText="right"/>
                <wp:docPr id="9" name="Shape 9"/>
                <a:graphic xmlns:a="http://schemas.openxmlformats.org/drawingml/2006/main">
                  <a:graphicData uri="http://schemas.microsoft.com/office/word/2010/wordprocessingShape">
                    <wps:wsp>
                      <wps:cNvSpPr txBox="1"/>
                      <wps:spPr>
                        <a:xfrm>
                          <a:ext cx="1414780" cy="541655"/>
                        </a:xfrm>
                        <a:prstGeom prst="rect"/>
                        <a:noFill/>
                      </wps:spPr>
                      <wps:txbx>
                        <w:txbxContent>
                          <w:p>
                            <w:pPr>
                              <w:pStyle w:val="Style11"/>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ru-RU" w:eastAsia="ru-RU" w:bidi="ru-RU"/>
                              </w:rPr>
                              <w:t>. Щ2,Ж&gt;23</w:t>
                            </w:r>
                          </w:p>
                          <w:p>
                            <w:pPr>
                              <w:pStyle w:val="Style13"/>
                              <w:keepNext w:val="0"/>
                              <w:keepLines w:val="0"/>
                              <w:widowControl w:val="0"/>
                              <w:shd w:val="clear" w:color="auto" w:fill="auto"/>
                              <w:tabs>
                                <w:tab w:pos="702" w:val="left"/>
                                <w:tab w:pos="1213" w:val="left"/>
                              </w:tabs>
                              <w:bidi w:val="0"/>
                              <w:spacing w:before="0" w:after="0" w:line="240" w:lineRule="auto"/>
                              <w:ind w:left="0" w:right="0" w:firstLine="0"/>
                              <w:jc w:val="left"/>
                            </w:pPr>
                            <w:r>
                              <w:rPr>
                                <w:color w:val="000000"/>
                                <w:spacing w:val="0"/>
                                <w:w w:val="100"/>
                                <w:position w:val="0"/>
                                <w:shd w:val="clear" w:color="auto" w:fill="auto"/>
                                <w:lang w:val="ru-RU" w:eastAsia="ru-RU" w:bidi="ru-RU"/>
                              </w:rPr>
                              <w:t>На №</w:t>
                              <w:tab/>
                              <w:t>_</w:t>
                              <w:tab/>
                              <w:t xml:space="preserve"> 01</w:t>
                            </w:r>
                          </w:p>
                        </w:txbxContent>
                      </wps:txbx>
                      <wps:bodyPr lIns="0" tIns="0" rIns="0" bIns="0">
                        <a:noAutoFit/>
                      </wps:bodyPr>
                    </wps:wsp>
                  </a:graphicData>
                </a:graphic>
              </wp:anchor>
            </w:drawing>
          </mc:Choice>
          <mc:Fallback>
            <w:pict>
              <v:shape id="_x0000_s1035" type="#_x0000_t202" style="position:absolute;margin-left:57.pt;margin-top:135.40000000000001pt;width:111.40000000000001pt;height:42.649999999999999pt;z-index:-125829371;mso-wrap-distance-left:9.pt;mso-wrap-distance-top:124.40000000000001pt;mso-wrap-distance-right:90.400000000000006pt;mso-position-horizontal-relative:page" filled="f" stroked="f">
                <v:textbox inset="0,0,0,0">
                  <w:txbxContent>
                    <w:p>
                      <w:pPr>
                        <w:pStyle w:val="Style11"/>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ru-RU" w:eastAsia="ru-RU" w:bidi="ru-RU"/>
                        </w:rPr>
                        <w:t>. Щ2,Ж&gt;23</w:t>
                      </w:r>
                    </w:p>
                    <w:p>
                      <w:pPr>
                        <w:pStyle w:val="Style13"/>
                        <w:keepNext w:val="0"/>
                        <w:keepLines w:val="0"/>
                        <w:widowControl w:val="0"/>
                        <w:shd w:val="clear" w:color="auto" w:fill="auto"/>
                        <w:tabs>
                          <w:tab w:pos="702" w:val="left"/>
                          <w:tab w:pos="1213" w:val="left"/>
                        </w:tabs>
                        <w:bidi w:val="0"/>
                        <w:spacing w:before="0" w:after="0" w:line="240" w:lineRule="auto"/>
                        <w:ind w:left="0" w:right="0" w:firstLine="0"/>
                        <w:jc w:val="left"/>
                      </w:pPr>
                      <w:r>
                        <w:rPr>
                          <w:color w:val="000000"/>
                          <w:spacing w:val="0"/>
                          <w:w w:val="100"/>
                          <w:position w:val="0"/>
                          <w:shd w:val="clear" w:color="auto" w:fill="auto"/>
                          <w:lang w:val="ru-RU" w:eastAsia="ru-RU" w:bidi="ru-RU"/>
                        </w:rPr>
                        <w:t>На №</w:t>
                        <w:tab/>
                        <w:t>_</w:t>
                        <w:tab/>
                        <w:t xml:space="preserve"> 01</w:t>
                      </w:r>
                    </w:p>
                  </w:txbxContent>
                </v:textbox>
                <w10:wrap type="square" side="right" anchorx="page"/>
              </v:shape>
            </w:pict>
          </mc:Fallback>
        </mc:AlternateContent>
      </w:r>
      <w:r>
        <w:rPr>
          <w:color w:val="000000"/>
          <w:spacing w:val="0"/>
          <w:w w:val="100"/>
          <w:position w:val="0"/>
          <w:shd w:val="clear" w:color="auto" w:fill="auto"/>
          <w:lang w:val="ru-RU" w:eastAsia="ru-RU" w:bidi="ru-RU"/>
        </w:rPr>
        <w:t>Государственное казенное учреждение «Курганавтодор»</w:t>
      </w:r>
    </w:p>
    <w:p>
      <w:pPr>
        <w:pStyle w:val="Style17"/>
        <w:keepNext w:val="0"/>
        <w:keepLines w:val="0"/>
        <w:widowControl w:val="0"/>
        <w:shd w:val="clear" w:color="auto" w:fill="auto"/>
        <w:bidi w:val="0"/>
        <w:spacing w:before="0" w:after="0" w:line="276" w:lineRule="auto"/>
        <w:ind w:left="1160" w:right="0" w:firstLine="20"/>
        <w:jc w:val="left"/>
      </w:pPr>
      <w:r>
        <w:rPr>
          <w:color w:val="000000"/>
          <w:spacing w:val="0"/>
          <w:w w:val="100"/>
          <w:position w:val="0"/>
          <w:shd w:val="clear" w:color="auto" w:fill="auto"/>
          <w:lang w:val="ru-RU" w:eastAsia="ru-RU" w:bidi="ru-RU"/>
        </w:rPr>
        <w:t>640002, Курганская обл., г. Курган, ул.</w:t>
      </w:r>
    </w:p>
    <w:p>
      <w:pPr>
        <w:pStyle w:val="Style17"/>
        <w:keepNext w:val="0"/>
        <w:keepLines w:val="0"/>
        <w:widowControl w:val="0"/>
        <w:shd w:val="clear" w:color="auto" w:fill="auto"/>
        <w:bidi w:val="0"/>
        <w:spacing w:before="0" w:after="0" w:line="257" w:lineRule="auto"/>
        <w:ind w:left="1160" w:right="0" w:firstLine="20"/>
        <w:jc w:val="left"/>
      </w:pPr>
      <w:r>
        <w:rPr>
          <w:color w:val="000000"/>
          <w:spacing w:val="0"/>
          <w:w w:val="100"/>
          <w:position w:val="0"/>
          <w:shd w:val="clear" w:color="auto" w:fill="auto"/>
          <w:lang w:val="ru-RU" w:eastAsia="ru-RU" w:bidi="ru-RU"/>
        </w:rPr>
        <w:t>Володарского, д. 103, оф. 1</w:t>
      </w:r>
    </w:p>
    <w:p>
      <w:pPr>
        <w:pStyle w:val="Style17"/>
        <w:keepNext w:val="0"/>
        <w:keepLines w:val="0"/>
        <w:widowControl w:val="0"/>
        <w:shd w:val="clear" w:color="auto" w:fill="auto"/>
        <w:bidi w:val="0"/>
        <w:spacing w:before="0" w:after="300" w:line="257" w:lineRule="auto"/>
        <w:ind w:left="1160" w:right="0" w:firstLine="20"/>
        <w:jc w:val="left"/>
      </w:pPr>
      <w:r>
        <w:rPr>
          <w:color w:val="000000"/>
          <w:spacing w:val="0"/>
          <w:w w:val="100"/>
          <w:position w:val="0"/>
          <w:shd w:val="clear" w:color="auto" w:fill="auto"/>
          <w:lang w:val="ru-RU" w:eastAsia="ru-RU" w:bidi="ru-RU"/>
        </w:rPr>
        <w:t>1ог§1хоЬ@таП.ги; ау1ос1ог@киг§апоЫ.ги</w:t>
      </w:r>
    </w:p>
    <w:p>
      <w:pPr>
        <w:pStyle w:val="Style17"/>
        <w:keepNext w:val="0"/>
        <w:keepLines w:val="0"/>
        <w:widowControl w:val="0"/>
        <w:shd w:val="clear" w:color="auto" w:fill="auto"/>
        <w:bidi w:val="0"/>
        <w:spacing w:before="0" w:after="0" w:line="257" w:lineRule="auto"/>
        <w:ind w:left="1160" w:right="0" w:firstLine="20"/>
        <w:jc w:val="left"/>
      </w:pPr>
      <w:r>
        <w:rPr>
          <w:color w:val="000000"/>
          <w:spacing w:val="0"/>
          <w:w w:val="100"/>
          <w:position w:val="0"/>
          <w:shd w:val="clear" w:color="auto" w:fill="auto"/>
          <w:lang w:val="ru-RU" w:eastAsia="ru-RU" w:bidi="ru-RU"/>
        </w:rPr>
        <w:t>Государственное казенное учреждение «Центр закупок и бухгалтерского учета Курганской области»</w:t>
      </w:r>
    </w:p>
    <w:p>
      <w:pPr>
        <w:pStyle w:val="Style17"/>
        <w:keepNext w:val="0"/>
        <w:keepLines w:val="0"/>
        <w:widowControl w:val="0"/>
        <w:shd w:val="clear" w:color="auto" w:fill="auto"/>
        <w:bidi w:val="0"/>
        <w:spacing w:before="0" w:after="0" w:line="257" w:lineRule="auto"/>
        <w:ind w:left="1160" w:right="0" w:firstLine="20"/>
        <w:jc w:val="left"/>
      </w:pPr>
      <w:r>
        <w:rPr>
          <w:color w:val="000000"/>
          <w:spacing w:val="0"/>
          <w:w w:val="100"/>
          <w:position w:val="0"/>
          <w:shd w:val="clear" w:color="auto" w:fill="auto"/>
          <w:lang w:val="ru-RU" w:eastAsia="ru-RU" w:bidi="ru-RU"/>
        </w:rPr>
        <w:t>640003, Курганская область, г. Курган, ул.</w:t>
      </w:r>
    </w:p>
    <w:p>
      <w:pPr>
        <w:pStyle w:val="Style17"/>
        <w:keepNext w:val="0"/>
        <w:keepLines w:val="0"/>
        <w:widowControl w:val="0"/>
        <w:shd w:val="clear" w:color="auto" w:fill="auto"/>
        <w:bidi w:val="0"/>
        <w:spacing w:before="0" w:after="0" w:line="257" w:lineRule="auto"/>
        <w:ind w:left="1160" w:right="0" w:firstLine="20"/>
        <w:jc w:val="left"/>
      </w:pPr>
      <w:r>
        <w:rPr>
          <w:color w:val="000000"/>
          <w:spacing w:val="0"/>
          <w:w w:val="100"/>
          <w:position w:val="0"/>
          <w:shd w:val="clear" w:color="auto" w:fill="auto"/>
          <w:lang w:val="ru-RU" w:eastAsia="ru-RU" w:bidi="ru-RU"/>
        </w:rPr>
        <w:t>Р. Зорге, д. 20, оф. 1</w:t>
      </w:r>
    </w:p>
    <w:p>
      <w:pPr>
        <w:pStyle w:val="Style17"/>
        <w:keepNext w:val="0"/>
        <w:keepLines w:val="0"/>
        <w:widowControl w:val="0"/>
        <w:shd w:val="clear" w:color="auto" w:fill="auto"/>
        <w:bidi w:val="0"/>
        <w:spacing w:before="0" w:after="300" w:line="257" w:lineRule="auto"/>
        <w:ind w:left="5320" w:right="0" w:firstLine="0"/>
        <w:jc w:val="left"/>
      </w:pPr>
      <w:r>
        <w:rPr>
          <w:color w:val="000000"/>
          <w:spacing w:val="0"/>
          <w:w w:val="100"/>
          <w:position w:val="0"/>
          <w:shd w:val="clear" w:color="auto" w:fill="auto"/>
          <w:lang w:val="ru-RU" w:eastAsia="ru-RU" w:bidi="ru-RU"/>
        </w:rPr>
        <w:t>и§х@киг§апоЫд*и</w:t>
      </w:r>
    </w:p>
    <w:p>
      <w:pPr>
        <w:pStyle w:val="Style17"/>
        <w:keepNext w:val="0"/>
        <w:keepLines w:val="0"/>
        <w:widowControl w:val="0"/>
        <w:shd w:val="clear" w:color="auto" w:fill="auto"/>
        <w:bidi w:val="0"/>
        <w:spacing w:before="0" w:after="0" w:line="240" w:lineRule="auto"/>
        <w:ind w:left="5320" w:right="0" w:firstLine="20"/>
        <w:jc w:val="left"/>
      </w:pPr>
      <w:r>
        <w:rPr>
          <w:color w:val="000000"/>
          <w:spacing w:val="0"/>
          <w:w w:val="100"/>
          <w:position w:val="0"/>
          <w:shd w:val="clear" w:color="auto" w:fill="auto"/>
          <w:lang w:val="ru-RU" w:eastAsia="ru-RU" w:bidi="ru-RU"/>
        </w:rPr>
        <w:t>Индивидуальный предприниматель Тожибаев Захиджон Пазилжонович 620075, Свердловская область, г.</w:t>
      </w:r>
    </w:p>
    <w:p>
      <w:pPr>
        <w:pStyle w:val="Style17"/>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Екатеринбург, ул. Малышева, д. 77 , кв.</w:t>
      </w:r>
    </w:p>
    <w:p>
      <w:pPr>
        <w:pStyle w:val="Style17"/>
        <w:keepNext w:val="0"/>
        <w:keepLines w:val="0"/>
        <w:widowControl w:val="0"/>
        <w:shd w:val="clear" w:color="auto" w:fill="auto"/>
        <w:bidi w:val="0"/>
        <w:spacing w:before="0" w:after="0" w:line="240" w:lineRule="auto"/>
        <w:ind w:left="5320" w:right="0" w:firstLine="0"/>
        <w:jc w:val="left"/>
      </w:pPr>
      <w:r>
        <w:rPr>
          <w:color w:val="000000"/>
          <w:spacing w:val="0"/>
          <w:w w:val="100"/>
          <w:position w:val="0"/>
          <w:shd w:val="clear" w:color="auto" w:fill="auto"/>
          <w:lang w:val="ru-RU" w:eastAsia="ru-RU" w:bidi="ru-RU"/>
        </w:rPr>
        <w:t>40</w:t>
      </w:r>
    </w:p>
    <w:p>
      <w:pPr>
        <w:pStyle w:val="Style17"/>
        <w:keepNext w:val="0"/>
        <w:keepLines w:val="0"/>
        <w:widowControl w:val="0"/>
        <w:shd w:val="clear" w:color="auto" w:fill="auto"/>
        <w:bidi w:val="0"/>
        <w:spacing w:before="0" w:after="600" w:line="240" w:lineRule="auto"/>
        <w:ind w:left="5320" w:right="0" w:firstLine="0"/>
        <w:jc w:val="left"/>
      </w:pPr>
      <w:r>
        <w:rPr>
          <w:color w:val="000000"/>
          <w:spacing w:val="0"/>
          <w:w w:val="100"/>
          <w:position w:val="0"/>
          <w:shd w:val="clear" w:color="auto" w:fill="auto"/>
          <w:lang w:val="ru-RU" w:eastAsia="ru-RU" w:bidi="ru-RU"/>
        </w:rPr>
        <w:t>1р.хаЫс17Ъоп@§тай.сот</w:t>
      </w:r>
    </w:p>
    <w:p>
      <w:pPr>
        <w:pStyle w:val="Style19"/>
        <w:keepNext/>
        <w:keepLines/>
        <w:widowControl w:val="0"/>
        <w:shd w:val="clear" w:color="auto" w:fill="auto"/>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br/>
        <w:t>по делу о нарушении законодательства о контрактной системе в сфере</w:t>
        <w:br/>
        <w:t>закупок № 045/06/106-612/2023</w:t>
      </w:r>
      <w:bookmarkEnd w:id="0"/>
    </w:p>
    <w:p>
      <w:pPr>
        <w:pStyle w:val="Style17"/>
        <w:keepNext w:val="0"/>
        <w:keepLines w:val="0"/>
        <w:widowControl w:val="0"/>
        <w:shd w:val="clear" w:color="auto" w:fill="auto"/>
        <w:tabs>
          <w:tab w:pos="9126" w:val="left"/>
        </w:tabs>
        <w:bidi w:val="0"/>
        <w:spacing w:before="0" w:after="300" w:line="240" w:lineRule="auto"/>
        <w:ind w:left="0" w:right="0" w:firstLine="0"/>
        <w:jc w:val="left"/>
      </w:pPr>
      <w:r>
        <w:rPr>
          <w:color w:val="000000"/>
          <w:spacing w:val="0"/>
          <w:w w:val="100"/>
          <w:position w:val="0"/>
          <w:shd w:val="clear" w:color="auto" w:fill="auto"/>
          <w:lang w:val="ru-RU" w:eastAsia="ru-RU" w:bidi="ru-RU"/>
        </w:rPr>
        <w:t>15.12.2023 г.</w:t>
        <w:tab/>
        <w:t>г. Курган</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Курганской области по контролю в сфере закупок ыа территории Курганской области (далее - Комиссия Курганского УФАС России) в составе:</w:t>
      </w:r>
    </w:p>
    <w:p>
      <w:pPr>
        <w:pStyle w:val="Style17"/>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hd w:val="clear" w:color="auto" w:fill="auto"/>
          <w:lang w:val="ru-RU" w:eastAsia="ru-RU" w:bidi="ru-RU"/>
        </w:rPr>
        <w:t xml:space="preserve">Заместитель председателя Комиссии: - </w:t>
      </w:r>
      <w:r>
        <w:rPr>
          <w:color w:val="000000"/>
          <w:spacing w:val="0"/>
          <w:w w:val="100"/>
          <w:position w:val="0"/>
          <w:shd w:val="clear" w:color="auto" w:fill="auto"/>
          <w:lang w:val="ru-RU" w:eastAsia="ru-RU" w:bidi="ru-RU"/>
        </w:rPr>
        <w:t>Иванова А.В. - заместитель руководителя -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9"/>
        <w:keepNext/>
        <w:keepLines/>
        <w:widowControl w:val="0"/>
        <w:shd w:val="clear" w:color="auto" w:fill="auto"/>
        <w:bidi w:val="0"/>
        <w:spacing w:before="0" w:after="0" w:line="240" w:lineRule="auto"/>
        <w:ind w:left="0" w:right="0" w:firstLine="700"/>
        <w:jc w:val="left"/>
      </w:pPr>
      <w:bookmarkStart w:id="2" w:name="bookmark2"/>
      <w:r>
        <w:rPr>
          <w:color w:val="000000"/>
          <w:spacing w:val="0"/>
          <w:w w:val="100"/>
          <w:position w:val="0"/>
          <w:shd w:val="clear" w:color="auto" w:fill="auto"/>
          <w:lang w:val="ru-RU" w:eastAsia="ru-RU" w:bidi="ru-RU"/>
        </w:rPr>
        <w:t>Члены Комиссии:</w:t>
      </w:r>
      <w:bookmarkEnd w:id="2"/>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Колпакова А.К).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Чеботина М.Г1. - старший государственный инспектор отдела контроля закупок и антимонопольного рстулирования органов власти Управления Федеральной антимонопольной службы по Курганской области,</w:t>
      </w:r>
    </w:p>
    <w:p>
      <w:pPr>
        <w:pStyle w:val="Style17"/>
        <w:keepNext w:val="0"/>
        <w:keepLines w:val="0"/>
        <w:widowControl w:val="0"/>
        <w:shd w:val="clear" w:color="auto" w:fill="auto"/>
        <w:bidi w:val="0"/>
        <w:spacing w:before="0" w:after="600" w:line="240" w:lineRule="auto"/>
        <w:ind w:left="0" w:right="0" w:firstLine="700"/>
        <w:jc w:val="left"/>
      </w:pPr>
      <w:r>
        <w:rPr>
          <w:color w:val="000000"/>
          <w:spacing w:val="0"/>
          <w:w w:val="100"/>
          <w:position w:val="0"/>
          <w:shd w:val="clear" w:color="auto" w:fill="auto"/>
          <w:lang w:val="ru-RU" w:eastAsia="ru-RU" w:bidi="ru-RU"/>
        </w:rPr>
        <w:t>при участии в заседании Комиссии представителей:</w:t>
      </w:r>
    </w:p>
    <w:p>
      <w:pPr>
        <w:pStyle w:val="Style22"/>
        <w:keepNext/>
        <w:keepLines/>
        <w:widowControl w:val="0"/>
        <w:shd w:val="clear" w:color="auto" w:fill="auto"/>
        <w:bidi w:val="0"/>
        <w:spacing w:before="0" w:after="0" w:line="240" w:lineRule="auto"/>
        <w:ind w:left="0" w:right="0" w:firstLine="0"/>
        <w:jc w:val="left"/>
      </w:pPr>
      <w:bookmarkStart w:id="4" w:name="bookmark4"/>
      <w:r>
        <w:rPr>
          <w:color w:val="000000"/>
          <w:spacing w:val="0"/>
          <w:position w:val="0"/>
          <w:shd w:val="clear" w:color="auto" w:fill="auto"/>
          <w:lang w:val="ru-RU" w:eastAsia="ru-RU" w:bidi="ru-RU"/>
        </w:rPr>
        <w:t>11111111111111111 ВНИИ</w:t>
      </w:r>
      <w:bookmarkEnd w:id="4"/>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Государственного казенного учреждения «Курганавтодор» (далее - ГКУ «Курганавтодор», Заказчик) Серебряковой О.Г., действующей на основании доверенности № 51 от 07.12.2023,</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учреждения - Государственного казенного учреждения «Центр закупок и бухгалтерского учета Курганской области» (далее - ГКУ «Центр закупок и бухгалтерского учета Курганской области», Уполномоченное учреждение) Колдина Л.И., действующего на основании доверенности № 7 от 27.07.2023 (участвовал посредством видеоконференцсвязи),</w:t>
      </w:r>
    </w:p>
    <w:p>
      <w:pPr>
        <w:pStyle w:val="Style17"/>
        <w:keepNext w:val="0"/>
        <w:keepLines w:val="0"/>
        <w:widowControl w:val="0"/>
        <w:shd w:val="clear" w:color="auto" w:fill="auto"/>
        <w:tabs>
          <w:tab w:pos="418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качестве слушателей на заседание Комиссии Курганского УФЛС России допущены представители заинтересованного лица - Акционерного общества по строительству, ремонту и содержанию автомобильных дорог и инженерных сооружений «Новосибирскавтодор» (АО «Новосибирскавтодор») Сатиной Е.Н., действующей па основании доверенности № 717 от 15.12.2023, Важенина Л.М., действующего на основании доверенности №</w:t>
        <w:tab/>
        <w:t>5 от 11.01.2023 (участвовали посредством</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видеоконференцсвязи),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представителя Заявителя - Индивидуального предпринимателя Тожибаева Захиджона Пазилжоновича (далее - ИИ Тожибаев З.П., Заявитель) - о времени и месте рассмотрения жалобы извещено надлежащим образом, в том числе публично, путем размещения информации о времени и месте рассмотрения жалобы в Единой информационной системы в сфере закупок (далее - ЕИС), явку представителя нс обеспечили, ходатайств о рассмотрении жалобы в отсутствие представителя не поступало,</w:t>
      </w:r>
    </w:p>
    <w:p>
      <w:pPr>
        <w:pStyle w:val="Style17"/>
        <w:keepNext w:val="0"/>
        <w:keepLines w:val="0"/>
        <w:widowControl w:val="0"/>
        <w:shd w:val="clear" w:color="auto" w:fill="auto"/>
        <w:bidi w:val="0"/>
        <w:spacing w:before="0" w:after="300" w:line="240" w:lineRule="auto"/>
        <w:ind w:left="0" w:right="0" w:firstLine="720"/>
        <w:jc w:val="both"/>
      </w:pPr>
      <w:r>
        <w:rPr>
          <w:color w:val="000000"/>
          <w:spacing w:val="0"/>
          <w:w w:val="100"/>
          <w:position w:val="0"/>
          <w:shd w:val="clear" w:color="auto" w:fill="auto"/>
          <w:lang w:val="ru-RU" w:eastAsia="ru-RU" w:bidi="ru-RU"/>
        </w:rPr>
        <w:t>рассмотрев жалобу ИИ Тожибаев 3.11. на действия Заказчика - ГКУ «Курганавтодор» при осуществлении закупки путем проведения открытого конкурса в электронной форме на выполнение работ по ремонту автомобильной дороги «Екатеринбург - Шадринск - Курган» - Падерино - граница Свердловской области в Далматовском муниципальном округе Курганской области на участке км 04 000 - км 41+056, 2 пусковой комплекс км 20+000 - км 41+056 (извещение № 0843500000223007066) и осуществив внеплановую проверку, руководствуясь статьями 99, 105,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01.10.2020 № 1576,</w:t>
      </w:r>
    </w:p>
    <w:p>
      <w:pPr>
        <w:pStyle w:val="Style19"/>
        <w:keepNext/>
        <w:keepLines/>
        <w:widowControl w:val="0"/>
        <w:shd w:val="clear" w:color="auto" w:fill="auto"/>
        <w:bidi w:val="0"/>
        <w:spacing w:before="0" w:line="240" w:lineRule="auto"/>
        <w:ind w:left="0" w:right="0" w:firstLine="0"/>
        <w:jc w:val="center"/>
      </w:pPr>
      <w:bookmarkStart w:id="6" w:name="bookmark6"/>
      <w:r>
        <w:rPr>
          <w:color w:val="000000"/>
          <w:spacing w:val="0"/>
          <w:w w:val="100"/>
          <w:position w:val="0"/>
          <w:shd w:val="clear" w:color="auto" w:fill="auto"/>
          <w:lang w:val="ru-RU" w:eastAsia="ru-RU" w:bidi="ru-RU"/>
        </w:rPr>
        <w:t>УСТАНОВИЛА:</w:t>
      </w:r>
      <w:bookmarkEnd w:id="6"/>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 Положения о Федеральной антимонопольной службе, утвержденного Постановлением Правительства РФ от 30.06.2004 № 331 (далее - Положение), Федеральная антимонопольная служба (ФАС России) является уполномоченным федеральным органом исполнительной власти, осуществляющим функции по контролю за соблюдением антимонопольного законодательства, </w:t>
      </w:r>
      <w:r>
        <w:rPr>
          <w:color w:val="000000"/>
          <w:spacing w:val="0"/>
          <w:w w:val="100"/>
          <w:position w:val="0"/>
          <w:shd w:val="clear" w:color="auto" w:fill="auto"/>
          <w:lang w:val="ru-RU" w:eastAsia="ru-RU" w:bidi="ru-RU"/>
        </w:rPr>
        <w:t>законодательства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 а также по согласованию применения закрытых способов определения поставщиков (подрядчиков, исполнителей).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3 Положения, Федеральная антимонопольная служба в своей деятельности руководствуется Конституцией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международными договорами Российской Федерации, а также настоящим Положением.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5.3.1.12 Положения, ФАС России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5.3.9 Положения, ФЛС России рассматривает жалобы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се членов, должностных лиц контрактной службы, контрактного управляющего, оператора электронной площадки и приостанавливает определение поставщика (подрядчика, исполнителя) и заключение контракта до рассмотрения жалобы по существу в случаях и порядке, предусмотренных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4 Положения, Федеральная антимонопольная служба осуществляет свою деятельность непосредственно и через свои территориальные органы.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6.1.7 Положения о территориальном органе Федеральной антимонопольной службы, утвержденного Приказом ФЛС России от 23.07.2015 № 649/15, территориальный орган осуществляет контроль за соблюдением заказчиками, контрактными службами, контрактными управляющими, комиссиями по осуществлению закупок и их членами, уполномоченными органами, уполномоченными учреждениями, специализированными организациями, операторами электронных площадок, а также бюджетным учреждением либо иным юридическим лицом в соответствии с частями 1, 4 и 5 статьи 15 Федерального закона от 05.04.2013 № 44-ФЗ «О контрактной системе в сфере закупок товаров, работ, услуг для обеспечения государственных и муниципальных нужд»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11.12.2023 в адрес Управления Федеральной антимонопольной службы по Курганской области поступила жалоба ИП Тожибаев З.П. па действия Заказчика - ГКУ «Кургапавтодор» при осуществлении закупки путем проведения открытого конкурса в электронной форме па выполнение работ по ремонту автомобильной дороги «Екатеринбург - Шадринск - Курган» - Падерипо - граница Свердловской области в Далматовском муниципальном округе Курганской области па участке км 01000 - км </w:t>
      </w:r>
      <w:r>
        <w:rPr>
          <w:color w:val="000000"/>
          <w:spacing w:val="0"/>
          <w:w w:val="100"/>
          <w:position w:val="0"/>
          <w:shd w:val="clear" w:color="auto" w:fill="auto"/>
          <w:lang w:val="ru-RU" w:eastAsia="ru-RU" w:bidi="ru-RU"/>
        </w:rPr>
        <w:t>41+056, 2 пусковой комплекс км 20+000 - км 41+056 (извещение № 0843500000223007066).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Заявителя подана в надлежащий срок, а также соответствует требованиям, предусмотренным статьей 105 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жалобе </w:t>
      </w:r>
      <w:r>
        <w:rPr>
          <w:b/>
          <w:bCs/>
          <w:color w:val="000000"/>
          <w:spacing w:val="0"/>
          <w:w w:val="100"/>
          <w:position w:val="0"/>
          <w:shd w:val="clear" w:color="auto" w:fill="auto"/>
          <w:lang w:val="ru-RU" w:eastAsia="ru-RU" w:bidi="ru-RU"/>
        </w:rPr>
        <w:t xml:space="preserve">Заявитель </w:t>
      </w:r>
      <w:r>
        <w:rPr>
          <w:color w:val="000000"/>
          <w:spacing w:val="0"/>
          <w:w w:val="100"/>
          <w:position w:val="0"/>
          <w:shd w:val="clear" w:color="auto" w:fill="auto"/>
          <w:lang w:val="ru-RU" w:eastAsia="ru-RU" w:bidi="ru-RU"/>
        </w:rPr>
        <w:t>указывает на нарушения Заказчиком требований законодательства о контракт ной системе, которые выразились в том, что установленный Заказчиком порядок оценки заявок не соответствует положениям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Постановление Правительства РФ № 2604).</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пункта 11 части 1 статьи 42 Закона о контрактной системе,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Законом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части 1 статьи 32 Закона о контрактной системе перечислены критерии оценки заявок участников закупки, которые должен использовать заказчик.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положениями Постановления Правительства РФ № 2604, Заказчиком должны оцениваться контракты (договоры) у участника конкурса на выполнение работ по ремонту, содержанию, капитальному ремонту, строительству, реконструкции автомобильной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нарушение подпункта «в» пункта 32 Правил, Заказчик в своей конкурсной документации установил следующие контракты: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 выполнение работ по строительству, реконструкции, капитальному ремонту, ремонту автомобильных дорог.</w:t>
      </w:r>
    </w:p>
    <w:p>
      <w:pPr>
        <w:pStyle w:val="Style17"/>
        <w:keepNext w:val="0"/>
        <w:keepLines w:val="0"/>
        <w:widowControl w:val="0"/>
        <w:shd w:val="clear" w:color="auto" w:fill="auto"/>
        <w:tabs>
          <w:tab w:pos="1126" w:val="left"/>
          <w:tab w:pos="2127" w:val="left"/>
          <w:tab w:pos="3862" w:val="left"/>
          <w:tab w:pos="5867" w:val="left"/>
          <w:tab w:pos="7671" w:val="left"/>
          <w:tab w:pos="88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w:t>
        <w:tab/>
        <w:t>оценке</w:t>
        <w:tab/>
        <w:t>принимается</w:t>
        <w:tab/>
        <w:t>исключительно</w:t>
        <w:tab/>
        <w:t>исполненный</w:t>
        <w:tab/>
        <w:t>договор</w:t>
        <w:tab/>
        <w:t>(договоры),</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предусматривающий выполнение работ па объекте «Автомобильная дорога».</w:t>
      </w:r>
    </w:p>
    <w:p>
      <w:pPr>
        <w:pStyle w:val="Style17"/>
        <w:keepNext w:val="0"/>
        <w:keepLines w:val="0"/>
        <w:widowControl w:val="0"/>
        <w:shd w:val="clear" w:color="auto" w:fill="auto"/>
        <w:tabs>
          <w:tab w:pos="1126" w:val="left"/>
          <w:tab w:pos="2127" w:val="left"/>
          <w:tab w:pos="3862" w:val="left"/>
          <w:tab w:pos="5867" w:val="left"/>
          <w:tab w:pos="7671" w:val="left"/>
          <w:tab w:pos="880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w:t>
        <w:tab/>
        <w:t>оценке</w:t>
        <w:tab/>
        <w:t>принимается</w:t>
        <w:tab/>
        <w:t>исключительно</w:t>
        <w:tab/>
        <w:t>исполненный</w:t>
        <w:tab/>
        <w:t>договор</w:t>
        <w:tab/>
        <w:t>(договоры),</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относящийся к одному или нескольким из следующих договоров (контрактов):</w:t>
      </w:r>
    </w:p>
    <w:p>
      <w:pPr>
        <w:pStyle w:val="Style17"/>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17"/>
        <w:keepNext w:val="0"/>
        <w:keepLines w:val="0"/>
        <w:widowControl w:val="0"/>
        <w:numPr>
          <w:ilvl w:val="0"/>
          <w:numId w:val="1"/>
        </w:numPr>
        <w:shd w:val="clear" w:color="auto" w:fill="auto"/>
        <w:tabs>
          <w:tab w:pos="17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 предусмотренный частью 16.1 статьи 34 Федерального закона;</w:t>
      </w:r>
    </w:p>
    <w:p>
      <w:pPr>
        <w:pStyle w:val="Style17"/>
        <w:keepNext w:val="0"/>
        <w:keepLines w:val="0"/>
        <w:widowControl w:val="0"/>
        <w:numPr>
          <w:ilvl w:val="0"/>
          <w:numId w:val="1"/>
        </w:numPr>
        <w:shd w:val="clear" w:color="auto" w:fill="auto"/>
        <w:tabs>
          <w:tab w:pos="178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контракт, предусмотренный частью 56 статьи 112 Федерального закона;</w:t>
      </w:r>
    </w:p>
    <w:p>
      <w:pPr>
        <w:pStyle w:val="Style17"/>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договор, не относящийся к контрактам, указанным в пунктах 1-3, и предусматривающий выполнение работ по строительству, реконструкции, капитальному ремонту, ремонту автомобильных дорог: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исключив контракты по содержанию дорог, Заказчиком установлен ненадлежащий порядок оценки заявок, который не соответствует требованиям подпункту «в» пункта 32 Постановления Правительства РФ № 2604.</w:t>
      </w:r>
    </w:p>
    <w:p>
      <w:pPr>
        <w:pStyle w:val="Style17"/>
        <w:keepNext w:val="0"/>
        <w:keepLines w:val="0"/>
        <w:widowControl w:val="0"/>
        <w:shd w:val="clear" w:color="auto" w:fill="auto"/>
        <w:bidi w:val="0"/>
        <w:spacing w:before="0" w:after="0" w:line="271" w:lineRule="auto"/>
        <w:ind w:left="0" w:right="0" w:firstLine="700"/>
        <w:jc w:val="both"/>
      </w:pPr>
      <w:r>
        <w:rPr>
          <w:color w:val="000000"/>
          <w:spacing w:val="0"/>
          <w:w w:val="100"/>
          <w:position w:val="0"/>
          <w:shd w:val="clear" w:color="auto" w:fill="auto"/>
          <w:lang w:val="ru-RU" w:eastAsia="ru-RU" w:bidi="ru-RU"/>
        </w:rPr>
        <w:t>Заявитель просит признать жалобу обоснованной, приостановить размещение закупки до рассмотрения настоящей жалобы по существу, обязать Заказчика привести документацию о закупке в соответствие с законодательством.</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частью 1 статьи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данной нормой права Курганским УФАС России у Заказчика, Уполномоченного учреждения были запрошены письменные пояснения с правовым и документальным обоснованием по доводам жалобы Заявителя.</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ходе заседания Комиссии Курганского УФАС России </w:t>
      </w:r>
      <w:r>
        <w:rPr>
          <w:b/>
          <w:bCs/>
          <w:color w:val="000000"/>
          <w:spacing w:val="0"/>
          <w:w w:val="100"/>
          <w:position w:val="0"/>
          <w:shd w:val="clear" w:color="auto" w:fill="auto"/>
          <w:lang w:val="ru-RU" w:eastAsia="ru-RU" w:bidi="ru-RU"/>
        </w:rPr>
        <w:t xml:space="preserve">представитель Заказчика </w:t>
      </w:r>
      <w:r>
        <w:rPr>
          <w:color w:val="000000"/>
          <w:spacing w:val="0"/>
          <w:w w:val="100"/>
          <w:position w:val="0"/>
          <w:shd w:val="clear" w:color="auto" w:fill="auto"/>
          <w:lang w:val="ru-RU" w:eastAsia="ru-RU" w:bidi="ru-RU"/>
        </w:rPr>
        <w:t>с доводами жалобы нс согласился, считает ее необоснованной, по основания изложенным в письменных пояснениях, приобщенных к материалам дела.</w:t>
      </w:r>
    </w:p>
    <w:p>
      <w:pPr>
        <w:pStyle w:val="Style17"/>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Представитель Уполномоченного учреждения </w:t>
      </w:r>
      <w:r>
        <w:rPr>
          <w:color w:val="000000"/>
          <w:spacing w:val="0"/>
          <w:w w:val="100"/>
          <w:position w:val="0"/>
          <w:shd w:val="clear" w:color="auto" w:fill="auto"/>
          <w:lang w:val="ru-RU" w:eastAsia="ru-RU" w:bidi="ru-RU"/>
        </w:rPr>
        <w:t>также не согласился с доводами Заявителя, считает их необоснованными, лишенными правовых оснований.</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Кроме того, в адрес Курганского УФАС России поступили письменные пояснения заинтересованного лица - АО «Новосибирскавтодор», которые также приобщены к материалам по рассмотрению жалобы.</w:t>
      </w:r>
    </w:p>
    <w:p>
      <w:pPr>
        <w:pStyle w:val="Style17"/>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 xml:space="preserve">Руководствуясь статьями 99, 105, 106 Закона о контрактной системе, Комиссией Курганского УФАС России проведена внеплановая проверка, в результате которой установлено, </w:t>
      </w:r>
      <w:r>
        <w:rPr>
          <w:color w:val="000000"/>
          <w:spacing w:val="0"/>
          <w:w w:val="100"/>
          <w:position w:val="0"/>
          <w:shd w:val="clear" w:color="auto" w:fill="auto"/>
          <w:lang w:val="ru-RU" w:eastAsia="ru-RU" w:bidi="ru-RU"/>
        </w:rPr>
        <w:t>что 22.11.2023 на официальном сайте ЕИС в сети Интернет ГКУ «Центр закупок и бухгалтерского учета Курганской области» опубликовано извещение № 0843500000223007066 о проведении открытого конкурса в электронной форме на выполнение работ по ремонту автомобильной дороги «Екатеринбург - Шадринск - Курган» - Падерино - граница Свердловской области в Далматовском муниципальном округе Курганской области на участке км 01000 - км 41+056, 2 пусковой комплекс км 20+000 - км 41+056.</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цепа контракта составляет 547 592 714,00 рублей.</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Заказчиком является: I осударственное казенное учреждение «Курганавтодор».</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момент рассмотрения жалобы но существу контракт не заключен, победитель определен.</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Основной целью Закона о контрактной системе является удовлетворение потребностей заказчиков в товарах (работах, услугах), которые необходимы для осуществления ими своих функций, при соблюдении установленных этим законом ограничений. Целью же проведения открытого конкурса является приобретение товара (работы, услуги), отвечающего в наибольшей степени необходимым заказчику характеристикам.</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Открытость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прозрачность информации, указанной в части 1 статьи, обеспечиваются, в частности, путем се размещения в единой информационной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 1 статьи 8 Закона о контрактной системе гласит, что контрактная система в сфере закупок направлена па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2 статьи 8 Закона о контрактной системе, конкуренция при осуществлении закупок должна быть основана па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но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Частью 1 статьи 24 Закона о контрактной системе, определено, что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Конкурентными способами являются:</w:t>
      </w:r>
    </w:p>
    <w:p>
      <w:pPr>
        <w:pStyle w:val="Style17"/>
        <w:keepNext w:val="0"/>
        <w:keepLines w:val="0"/>
        <w:widowControl w:val="0"/>
        <w:numPr>
          <w:ilvl w:val="0"/>
          <w:numId w:val="3"/>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pPr>
        <w:pStyle w:val="Style17"/>
        <w:keepNext w:val="0"/>
        <w:keepLines w:val="0"/>
        <w:widowControl w:val="0"/>
        <w:numPr>
          <w:ilvl w:val="0"/>
          <w:numId w:val="3"/>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pPr>
        <w:pStyle w:val="Style17"/>
        <w:keepNext w:val="0"/>
        <w:keepLines w:val="0"/>
        <w:widowControl w:val="0"/>
        <w:numPr>
          <w:ilvl w:val="0"/>
          <w:numId w:val="3"/>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запрос котировок в электронной форме (далее - электронный запрос котировок) (часть 2 статьи 24 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части 3 статьи 24 Закона о контрактной системе сказано, что для целей Федерального закона, электронный конкурс, электронный аукцион, электронный запрос котировок, закупка товара у единственного поставщика на сумму, предусмотренную частью 12 статьи 93 настоящего Федерального закона, считаются также электронными процедурами, а закрытый электронный конкурс, закрытый электронный аукцион - </w:t>
      </w:r>
      <w:r>
        <w:rPr>
          <w:color w:val="000000"/>
          <w:spacing w:val="0"/>
          <w:w w:val="100"/>
          <w:position w:val="0"/>
          <w:shd w:val="clear" w:color="auto" w:fill="auto"/>
          <w:lang w:val="ru-RU" w:eastAsia="ru-RU" w:bidi="ru-RU"/>
        </w:rPr>
        <w:t>закрытыми электронными процедурами.</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части 1 статьи 48 Закона о контрактной системе указано, что электронный конкурс начинается с размещения в единой информационной системе извещения об осуществлении закупки.</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Пунктом 11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Федеральным законом.</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пункта 4 части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критерии квалификации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Не допускается использование заказчиком не предусмотренных статьей 32 Закона о контрактной системе критериев или их величин значимости, установленных частью 6 статьи 32 Закона о контрактной системе и в соответствии с частью 8 статьи 32 Закона о контрактной системе.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 (часть 9 статьи 32 Закона о контрактной системе).</w:t>
      </w:r>
    </w:p>
    <w:p>
      <w:pPr>
        <w:pStyle w:val="Style17"/>
        <w:keepNext w:val="0"/>
        <w:keepLines w:val="0"/>
        <w:widowControl w:val="0"/>
        <w:shd w:val="clear" w:color="auto" w:fill="auto"/>
        <w:tabs>
          <w:tab w:pos="63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РФ №</w:t>
        <w:tab/>
        <w:t>2604 утверждено положение,</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устанавливающее порядок оценки заявок па участие в закупке товаров, работ, услуг для обеспечения государственных и муниципальных нужд, предельные величины значимости критериев оценки заявок, а также требования к форме документа, предусмотренного пунктом 4 части 2 статьи 42 Закона о контрактной системе.</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подпункту «в» пункта 24 Постановления Правительства РФ №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 в том числе наличие у участников закупки опыта поставки товара, выполнения работы, оказания услуги, связанного с предметом контракта.</w:t>
      </w:r>
    </w:p>
    <w:p>
      <w:pPr>
        <w:pStyle w:val="Style1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Из содержания подпункта «в» пункта 28 Постановления Правительства РФ № 2604 следует, что в случае применения показателя оценки, предусмотренного подпунктом «в» пункта 24 Положения документом, предусмотренным порядком </w:t>
      </w:r>
      <w:r>
        <w:rPr>
          <w:color w:val="000000"/>
          <w:spacing w:val="0"/>
          <w:w w:val="100"/>
          <w:position w:val="0"/>
          <w:shd w:val="clear" w:color="auto" w:fill="auto"/>
          <w:lang w:val="ru-RU" w:eastAsia="ru-RU" w:bidi="ru-RU"/>
        </w:rPr>
        <w:t>рассмотрения и оценки заявок на участие в конкурсе устанавливается предмет договора (договоров), оцениваемого но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подпункта «в» пункта 32 Постановления Правительства РФ № 2604, при осуществлении закупки, по результатам проведения которой заключается контракт на выполнение работ по ремонту автомобильной дороги, в том числе, документом, предусмотренным приложением № 1 к Постановлению, в отношении показателя оценки, предусмотренного подпунктом «в» пункта 24 Постановления,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но ремонту, содержанию, капитальному ремонту, строительству, реконструкции автомобильной дороги.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Во исполнение пункта 4 части 2 статьи 42 Закона о контрактной системе, а также Постановления Правительства РФ № 2604 Заказчиком утвержден порядок рассмотрения и оценки заявок на участие в конкурсе (далее - Порядок), согласно пункту 2 раздела III к оценке принимаются исключительно исполненный договор (договоры), предусматривающий выполнение работ по строительству, реконструкции, капитальному ремонту, ремонту автомобильных дорог.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 руководствуясь подпунктом «в» пункта 28 Постановления Правительства РФ № 2604, согласно которому, порядком рассмотрения и оценки заявок на участие в конкурсе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а также подпунктом «в» пункта 32 Постановления Правительства РФ № 2604, указал, какие именно исполненные договоры и контракты необходимо предоставить участникам закупки - договоры, предусматривающие выполнение работ по строительству, реконструкции, капитальному ремонту, ремонту автомобильных дорог.</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Курганского УФАС России отмечает, что Заказчик правомерно установил требование к предмету представляемых участниками закупки договоров таким образом, чтобы их предмет наиболее соответствовал предмету контракта, заключаемого по результатам определения подрядчика.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отмечает, что при таком подходе к поиску подрядчика достигается принцип ответственности за результативность обеспечения государственных и муниципальных нужд, эффективность осуществления закупок, заложенный в статье 7 Закона о контрактной системе.</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Заказчик действовал в соответствии с нормами действующего законодательства и нс был ограничен в возможности установить требование к предмету представляемых участниками закупки договоров, таким образом, чтобы такой опыт в наибольшей степени соответствовал работам, которые подрядчику необходимо</w:t>
        <w:br w:type="page"/>
      </w:r>
      <w:r>
        <w:rPr>
          <w:color w:val="000000"/>
          <w:spacing w:val="0"/>
          <w:w w:val="100"/>
          <w:position w:val="0"/>
          <w:shd w:val="clear" w:color="auto" w:fill="auto"/>
          <w:lang w:val="ru-RU" w:eastAsia="ru-RU" w:bidi="ru-RU"/>
        </w:rPr>
        <w:t>выполнить по результатам заключаемого контракта.</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Согласно части 2 статьи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силу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Следовательно, бремя доказывания при рассмотрении жалобы в контрольном органе в сфере закупок Законом о контрактной системе возлагается па лицо, подавшее жалобу на соответствующие действия Заказчика в порядке Главы 6 Закона о контрактной системе.</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На основании изложенного, а также учитывая, что Заявитель участие своих представителей на заседание Комиссии Курганского УФАС России нс обеспечил, в составе жалобы доказательств, однозначно подтверждающих обоснованность довода, не представил, Комиссия Курганского УФАС России приходит к выводу, что довод Заявителя нс нашел своего подтверждения.</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связи с чем, жалоба Заявителя признана Комиссией Курганского УФАС России, необоснованной.</w:t>
      </w:r>
    </w:p>
    <w:p>
      <w:pPr>
        <w:pStyle w:val="Style17"/>
        <w:keepNext w:val="0"/>
        <w:keepLines w:val="0"/>
        <w:widowControl w:val="0"/>
        <w:shd w:val="clear" w:color="auto" w:fill="auto"/>
        <w:bidi w:val="0"/>
        <w:spacing w:before="0" w:after="0" w:line="252" w:lineRule="auto"/>
        <w:ind w:left="0" w:right="0" w:firstLine="700"/>
        <w:jc w:val="both"/>
      </w:pPr>
      <w:r>
        <w:rPr>
          <w:color w:val="000000"/>
          <w:spacing w:val="0"/>
          <w:w w:val="100"/>
          <w:position w:val="0"/>
          <w:shd w:val="clear" w:color="auto" w:fill="auto"/>
          <w:lang w:val="ru-RU" w:eastAsia="ru-RU" w:bidi="ru-RU"/>
        </w:rPr>
        <w:t>В ходе проведения внеплановой проверки Комиссией Курганского УФАС России в действиях субъектов контроля нарушений требований законодательства о контрактной системе не установлено.</w:t>
      </w:r>
    </w:p>
    <w:p>
      <w:pPr>
        <w:pStyle w:val="Style17"/>
        <w:keepNext w:val="0"/>
        <w:keepLines w:val="0"/>
        <w:widowControl w:val="0"/>
        <w:shd w:val="clear" w:color="auto" w:fill="auto"/>
        <w:bidi w:val="0"/>
        <w:spacing w:before="0" w:after="300" w:line="252"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9"/>
        <w:keepNext/>
        <w:keepLines/>
        <w:widowControl w:val="0"/>
        <w:shd w:val="clear" w:color="auto" w:fill="auto"/>
        <w:bidi w:val="0"/>
        <w:spacing w:before="0" w:line="252" w:lineRule="auto"/>
        <w:ind w:left="0" w:right="0" w:firstLine="0"/>
        <w:jc w:val="center"/>
      </w:pPr>
      <w:bookmarkStart w:id="8" w:name="bookmark8"/>
      <w:r>
        <w:rPr>
          <w:color w:val="000000"/>
          <w:spacing w:val="0"/>
          <w:w w:val="100"/>
          <w:position w:val="0"/>
          <w:shd w:val="clear" w:color="auto" w:fill="auto"/>
          <w:lang w:val="ru-RU" w:eastAsia="ru-RU" w:bidi="ru-RU"/>
        </w:rPr>
        <w:t>РЕШИЛА:</w:t>
      </w:r>
      <w:bookmarkEnd w:id="8"/>
    </w:p>
    <w:p>
      <w:pPr>
        <w:pStyle w:val="Style17"/>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Признать жалобу Индивидуального предпринимателя Тожибаева Захиджона Пазилжоновича необоснованной.</w:t>
      </w:r>
    </w:p>
    <w:p>
      <w:pPr>
        <w:pStyle w:val="Style17"/>
        <w:keepNext w:val="0"/>
        <w:keepLines w:val="0"/>
        <w:widowControl w:val="0"/>
        <w:shd w:val="clear" w:color="auto" w:fill="auto"/>
        <w:bidi w:val="0"/>
        <w:spacing w:before="0" w:after="600" w:line="240" w:lineRule="auto"/>
        <w:ind w:left="0" w:right="0" w:firstLine="700"/>
        <w:jc w:val="both"/>
      </w:pPr>
      <w:r>
        <w:drawing>
          <wp:anchor distT="0" distB="0" distL="114300" distR="1449070" simplePos="0" relativeHeight="125829384" behindDoc="0" locked="0" layoutInCell="1" allowOverlap="1">
            <wp:simplePos x="0" y="0"/>
            <wp:positionH relativeFrom="page">
              <wp:posOffset>3843020</wp:posOffset>
            </wp:positionH>
            <wp:positionV relativeFrom="paragraph">
              <wp:posOffset>647700</wp:posOffset>
            </wp:positionV>
            <wp:extent cx="1469390" cy="1146175"/>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1469390" cy="11461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5333365</wp:posOffset>
                </wp:positionH>
                <wp:positionV relativeFrom="paragraph">
                  <wp:posOffset>784860</wp:posOffset>
                </wp:positionV>
                <wp:extent cx="1311910" cy="987425"/>
                <wp:wrapNone/>
                <wp:docPr id="13" name="Shape 13"/>
                <a:graphic xmlns:a="http://schemas.openxmlformats.org/drawingml/2006/main">
                  <a:graphicData uri="http://schemas.microsoft.com/office/word/2010/wordprocessingShape">
                    <wps:wsp>
                      <wps:cNvSpPr txBox="1"/>
                      <wps:spPr>
                        <a:xfrm>
                          <a:ext cx="1311910" cy="987425"/>
                        </a:xfrm>
                        <a:prstGeom prst="rect"/>
                        <a:noFill/>
                      </wps:spPr>
                      <wps:txbx>
                        <w:txbxContent>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А.В. Иванова</w:t>
                            </w:r>
                          </w:p>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А.Ю. Колпакова</w:t>
                            </w:r>
                          </w:p>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М.П. Чеботипа</w:t>
                            </w:r>
                          </w:p>
                        </w:txbxContent>
                      </wps:txbx>
                      <wps:bodyPr lIns="0" tIns="0" rIns="0" bIns="0">
                        <a:noAutoFit/>
                      </wps:bodyPr>
                    </wps:wsp>
                  </a:graphicData>
                </a:graphic>
              </wp:anchor>
            </w:drawing>
          </mc:Choice>
          <mc:Fallback>
            <w:pict>
              <v:shape id="_x0000_s1039" type="#_x0000_t202" style="position:absolute;margin-left:419.94999999999999pt;margin-top:61.800000000000004pt;width:103.3pt;height:77.75pt;z-index:251657729;mso-wrap-distance-left:0;mso-wrap-distance-right:0;mso-position-horizontal-relative:page" filled="f" stroked="f">
                <v:textbox inset="0,0,0,0">
                  <w:txbxContent>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А.В. Иванова</w:t>
                      </w:r>
                    </w:p>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А.Ю. Колпакова</w:t>
                      </w:r>
                    </w:p>
                    <w:p>
                      <w:pPr>
                        <w:pStyle w:val="Style15"/>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М.П. Чеботипа</w:t>
                      </w:r>
                    </w:p>
                  </w:txbxContent>
                </v:textbox>
                <w10:wrap anchorx="page"/>
              </v:shape>
            </w:pict>
          </mc:Fallback>
        </mc:AlternateContent>
      </w:r>
      <w:r>
        <w:rPr>
          <w:i/>
          <w:iCs/>
          <w:color w:val="000000"/>
          <w:spacing w:val="0"/>
          <w:w w:val="100"/>
          <w:position w:val="0"/>
          <w:shd w:val="clear" w:color="auto" w:fill="auto"/>
          <w:lang w:val="ru-RU" w:eastAsia="ru-RU" w:bidi="ru-RU"/>
        </w:rPr>
        <w:t>Решение может быть обжаловано в арбитражный суд в течение трех месяцев, с даты его принятия в порядке, установленном главой 24 АНК РФ.</w:t>
      </w:r>
    </w:p>
    <w:p>
      <w:pPr>
        <w:pStyle w:val="Style17"/>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Заместитель председателя Комиссии</w:t>
      </w:r>
    </w:p>
    <w:p>
      <w:pPr>
        <w:pStyle w:val="Style17"/>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pgSz w:w="11900" w:h="16840"/>
      <w:pgMar w:top="1063" w:right="507" w:bottom="1207" w:left="108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716915</wp:posOffset>
              </wp:positionH>
              <wp:positionV relativeFrom="page">
                <wp:posOffset>9991090</wp:posOffset>
              </wp:positionV>
              <wp:extent cx="640080" cy="107315"/>
              <wp:wrapNone/>
              <wp:docPr id="1" name="Shape 1"/>
              <a:graphic xmlns:a="http://schemas.openxmlformats.org/drawingml/2006/main">
                <a:graphicData uri="http://schemas.microsoft.com/office/word/2010/wordprocessingShape">
                  <wps:wsp>
                    <wps:cNvSpPr txBox="1"/>
                    <wps:spPr>
                      <a:xfrm>
                        <a:ext cx="640080"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2023-4055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450000000000003pt;margin-top:786.70000000000005pt;width:50.399999999999999pt;height:8.4499999999999993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2023-4055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716915</wp:posOffset>
              </wp:positionH>
              <wp:positionV relativeFrom="page">
                <wp:posOffset>9991090</wp:posOffset>
              </wp:positionV>
              <wp:extent cx="640080" cy="102870"/>
              <wp:wrapNone/>
              <wp:docPr id="3" name="Shape 3"/>
              <a:graphic xmlns:a="http://schemas.openxmlformats.org/drawingml/2006/main">
                <a:graphicData uri="http://schemas.microsoft.com/office/word/2010/wordprocessingShape">
                  <wps:wsp>
                    <wps:cNvSpPr txBox="1"/>
                    <wps:spPr>
                      <a:xfrm>
                        <a:ext cx="640080" cy="1028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2023-4055</w:t>
                          </w:r>
                        </w:p>
                      </w:txbxContent>
                    </wps:txbx>
                    <wps:bodyPr wrap="none" lIns="0" tIns="0" rIns="0" bIns="0">
                      <a:spAutoFit/>
                    </wps:bodyPr>
                  </wps:wsp>
                </a:graphicData>
              </a:graphic>
            </wp:anchor>
          </w:drawing>
        </mc:Choice>
        <mc:Fallback>
          <w:pict>
            <v:shape id="_x0000_s1029" type="#_x0000_t202" style="position:absolute;margin-left:56.450000000000003pt;margin-top:786.70000000000005pt;width:50.399999999999999pt;height:8.0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2023-4055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sz w:val="18"/>
      <w:szCs w:val="18"/>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2)_"/>
    <w:basedOn w:val="DefaultParagraphFont"/>
    <w:link w:val="Style9"/>
    <w:rPr>
      <w:rFonts w:ascii="Times New Roman" w:eastAsia="Times New Roman" w:hAnsi="Times New Roman" w:cs="Times New Roman"/>
      <w:b w:val="0"/>
      <w:bCs w:val="0"/>
      <w:i w:val="0"/>
      <w:iCs w:val="0"/>
      <w:smallCaps w:val="0"/>
      <w:strike w:val="0"/>
      <w:sz w:val="16"/>
      <w:szCs w:val="16"/>
      <w:u w:val="none"/>
    </w:rPr>
  </w:style>
  <w:style w:type="character" w:customStyle="1" w:styleId="CharStyle12">
    <w:name w:val="Основной текст (6)_"/>
    <w:basedOn w:val="DefaultParagraphFont"/>
    <w:link w:val="Style11"/>
    <w:rPr>
      <w:rFonts w:ascii="Times New Roman" w:eastAsia="Times New Roman" w:hAnsi="Times New Roman" w:cs="Times New Roman"/>
      <w:b w:val="0"/>
      <w:bCs w:val="0"/>
      <w:i/>
      <w:iCs/>
      <w:smallCaps w:val="0"/>
      <w:strike w:val="0"/>
      <w:color w:val="3D3689"/>
      <w:sz w:val="34"/>
      <w:szCs w:val="34"/>
      <w:u w:val="none"/>
    </w:rPr>
  </w:style>
  <w:style w:type="character" w:customStyle="1" w:styleId="CharStyle14">
    <w:name w:val="Основной текст (5)_"/>
    <w:basedOn w:val="DefaultParagraphFont"/>
    <w:link w:val="Style13"/>
    <w:rPr>
      <w:rFonts w:ascii="Arial" w:eastAsia="Arial" w:hAnsi="Arial" w:cs="Arial"/>
      <w:b w:val="0"/>
      <w:bCs w:val="0"/>
      <w:i w:val="0"/>
      <w:iCs w:val="0"/>
      <w:smallCaps w:val="0"/>
      <w:strike w:val="0"/>
      <w:sz w:val="15"/>
      <w:szCs w:val="15"/>
      <w:u w:val="none"/>
    </w:rPr>
  </w:style>
  <w:style w:type="character" w:customStyle="1" w:styleId="CharStyle16">
    <w:name w:val="Подпись к картинке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Заголовок №2_"/>
    <w:basedOn w:val="DefaultParagraphFont"/>
    <w:link w:val="Style19"/>
    <w:rPr>
      <w:rFonts w:ascii="Times New Roman" w:eastAsia="Times New Roman" w:hAnsi="Times New Roman" w:cs="Times New Roman"/>
      <w:b/>
      <w:bCs/>
      <w:i w:val="0"/>
      <w:iCs w:val="0"/>
      <w:smallCaps w:val="0"/>
      <w:strike w:val="0"/>
      <w:sz w:val="26"/>
      <w:szCs w:val="26"/>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w w:val="50"/>
      <w:sz w:val="48"/>
      <w:szCs w:val="4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after="20"/>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7">
    <w:name w:val="Основной текст (3)"/>
    <w:basedOn w:val="Normal"/>
    <w:link w:val="CharStyle8"/>
    <w:pPr>
      <w:widowControl w:val="0"/>
      <w:shd w:val="clear" w:color="auto" w:fill="auto"/>
      <w:spacing w:after="20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2)"/>
    <w:basedOn w:val="Normal"/>
    <w:link w:val="CharStyle10"/>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11">
    <w:name w:val="Основной текст (6)"/>
    <w:basedOn w:val="Normal"/>
    <w:link w:val="CharStyle12"/>
    <w:pPr>
      <w:widowControl w:val="0"/>
      <w:shd w:val="clear" w:color="auto" w:fill="auto"/>
      <w:spacing w:after="180"/>
    </w:pPr>
    <w:rPr>
      <w:rFonts w:ascii="Times New Roman" w:eastAsia="Times New Roman" w:hAnsi="Times New Roman" w:cs="Times New Roman"/>
      <w:b w:val="0"/>
      <w:bCs w:val="0"/>
      <w:i/>
      <w:iCs/>
      <w:smallCaps w:val="0"/>
      <w:strike w:val="0"/>
      <w:color w:val="3D3689"/>
      <w:sz w:val="34"/>
      <w:szCs w:val="34"/>
      <w:u w:val="none"/>
    </w:rPr>
  </w:style>
  <w:style w:type="paragraph" w:customStyle="1" w:styleId="Style13">
    <w:name w:val="Основной текст (5)"/>
    <w:basedOn w:val="Normal"/>
    <w:link w:val="CharStyle14"/>
    <w:pPr>
      <w:widowControl w:val="0"/>
      <w:shd w:val="clear" w:color="auto" w:fill="auto"/>
    </w:pPr>
    <w:rPr>
      <w:rFonts w:ascii="Arial" w:eastAsia="Arial" w:hAnsi="Arial" w:cs="Arial"/>
      <w:b w:val="0"/>
      <w:bCs w:val="0"/>
      <w:i w:val="0"/>
      <w:iCs w:val="0"/>
      <w:smallCaps w:val="0"/>
      <w:strike w:val="0"/>
      <w:sz w:val="15"/>
      <w:szCs w:val="15"/>
      <w:u w:val="none"/>
    </w:rPr>
  </w:style>
  <w:style w:type="paragraph" w:customStyle="1" w:styleId="Style15">
    <w:name w:val="Подпись к картинке"/>
    <w:basedOn w:val="Normal"/>
    <w:link w:val="CharStyle16"/>
    <w:pPr>
      <w:widowControl w:val="0"/>
      <w:shd w:val="clear" w:color="auto" w:fill="auto"/>
      <w:spacing w:after="300"/>
    </w:pPr>
    <w:rPr>
      <w:rFonts w:ascii="Times New Roman" w:eastAsia="Times New Roman" w:hAnsi="Times New Roman" w:cs="Times New Roman"/>
      <w:b w:val="0"/>
      <w:bCs w:val="0"/>
      <w:i w:val="0"/>
      <w:iCs w:val="0"/>
      <w:smallCaps w:val="0"/>
      <w:strike w:val="0"/>
      <w:sz w:val="26"/>
      <w:szCs w:val="26"/>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Заголовок №2"/>
    <w:basedOn w:val="Normal"/>
    <w:link w:val="CharStyle20"/>
    <w:pPr>
      <w:widowControl w:val="0"/>
      <w:shd w:val="clear" w:color="auto" w:fill="auto"/>
      <w:spacing w:after="300"/>
      <w:jc w:val="center"/>
      <w:outlineLvl w:val="1"/>
    </w:pPr>
    <w:rPr>
      <w:rFonts w:ascii="Times New Roman" w:eastAsia="Times New Roman" w:hAnsi="Times New Roman" w:cs="Times New Roman"/>
      <w:b/>
      <w:bCs/>
      <w:i w:val="0"/>
      <w:iCs w:val="0"/>
      <w:smallCaps w:val="0"/>
      <w:strike w:val="0"/>
      <w:sz w:val="26"/>
      <w:szCs w:val="26"/>
      <w:u w:val="none"/>
    </w:rPr>
  </w:style>
  <w:style w:type="paragraph" w:customStyle="1" w:styleId="Style22">
    <w:name w:val="Заголовок №1"/>
    <w:basedOn w:val="Normal"/>
    <w:link w:val="CharStyle23"/>
    <w:pPr>
      <w:widowControl w:val="0"/>
      <w:shd w:val="clear" w:color="auto" w:fill="auto"/>
      <w:outlineLvl w:val="0"/>
    </w:pPr>
    <w:rPr>
      <w:rFonts w:ascii="Arial" w:eastAsia="Arial" w:hAnsi="Arial" w:cs="Arial"/>
      <w:b w:val="0"/>
      <w:bCs w:val="0"/>
      <w:i w:val="0"/>
      <w:iCs w:val="0"/>
      <w:smallCaps w:val="0"/>
      <w:strike w:val="0"/>
      <w:w w:val="5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