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xmlns:w15="http://schemas.microsoft.com/office/word/2012/wordml" mc:Ignorable="w15">
  <w:body>
    <w:p>
      <w:pPr>
        <w:widowControl w:val="0"/>
        <w:jc w:val="center"/>
        <w:rPr>
          <w:sz w:val="2"/>
          <w:szCs w:val="2"/>
        </w:rPr>
      </w:pPr>
      <w:r>
        <w:drawing>
          <wp:inline>
            <wp:extent cx="536575" cy="615950"/>
            <wp:docPr id="1" name="Picutre 1"/>
            <a:graphic xmlns:a="http://schemas.openxmlformats.org/drawingml/2006/main">
              <a:graphicData uri="http://schemas.openxmlformats.org/drawingml/2006/picture">
                <pic:pic xmlns:pic="http://schemas.openxmlformats.org/drawingml/2006/picture">
                  <pic:nvPicPr>
                    <pic:cNvPr id="1" name="Picture 1"/>
                    <pic:cNvPicPr/>
                  </pic:nvPicPr>
                  <pic:blipFill>
                    <a:blip r:embed="rId5"/>
                    <a:stretch/>
                  </pic:blipFill>
                  <pic:spPr>
                    <a:xfrm>
                      <a:ext cx="536575" cy="615950"/>
                    </a:xfrm>
                    <a:prstGeom prst="rect"/>
                  </pic:spPr>
                </pic:pic>
              </a:graphicData>
            </a:graphic>
          </wp:inline>
        </w:drawing>
      </w:r>
    </w:p>
    <w:p>
      <w:pPr>
        <w:widowControl w:val="0"/>
        <w:spacing w:after="139" w:line="1" w:lineRule="exact"/>
      </w:pPr>
    </w:p>
    <w:p>
      <w:pPr>
        <w:pStyle w:val="Style5"/>
        <w:keepNext w:val="0"/>
        <w:keepLines w:val="0"/>
        <w:widowControl w:val="0"/>
        <w:shd w:val="clear" w:color="auto" w:fill="auto"/>
        <w:bidi w:val="0"/>
        <w:spacing w:before="0" w:after="140" w:line="288" w:lineRule="auto"/>
        <w:ind w:left="0" w:right="0" w:firstLine="0"/>
        <w:jc w:val="center"/>
        <w:rPr>
          <w:sz w:val="17"/>
          <w:szCs w:val="17"/>
        </w:rPr>
      </w:pPr>
      <w:r>
        <w:rPr>
          <w:b/>
          <w:bCs/>
          <w:spacing w:val="0"/>
          <w:w w:val="100"/>
          <w:position w:val="0"/>
          <w:sz w:val="17"/>
          <w:szCs w:val="17"/>
          <w:shd w:val="clear" w:color="auto" w:fill="auto"/>
          <w:lang w:val="ru-RU" w:eastAsia="ru-RU" w:bidi="ru-RU"/>
        </w:rPr>
        <w:t>ФЕДЕРАЛЬНАЯ</w:t>
        <w:br/>
        <w:t>АНТИМОНОПОЛЬНАЯ СЛУЖБА</w:t>
      </w:r>
    </w:p>
    <w:p>
      <w:pPr>
        <w:pStyle w:val="Style8"/>
        <w:keepNext w:val="0"/>
        <w:keepLines w:val="0"/>
        <w:widowControl w:val="0"/>
        <w:shd w:val="clear" w:color="auto" w:fill="auto"/>
        <w:bidi w:val="0"/>
        <w:spacing w:before="0" w:line="240" w:lineRule="auto"/>
        <w:ind w:left="0" w:right="0" w:firstLine="0"/>
        <w:jc w:val="center"/>
      </w:pPr>
      <w:r>
        <w:rPr>
          <w:spacing w:val="0"/>
          <w:w w:val="100"/>
          <w:position w:val="0"/>
          <w:shd w:val="clear" w:color="auto" w:fill="auto"/>
          <w:lang w:val="ru-RU" w:eastAsia="ru-RU" w:bidi="ru-RU"/>
        </w:rPr>
        <w:t>УПРАВЛЕНИЕ</w:t>
        <w:br/>
        <w:t>Федеральной антимонопольной службы</w:t>
        <w:br/>
        <w:t>по Республике Ингушетия</w:t>
      </w:r>
    </w:p>
    <w:p>
      <w:pPr>
        <w:pStyle w:val="Style5"/>
        <w:keepNext w:val="0"/>
        <w:keepLines w:val="0"/>
        <w:widowControl w:val="0"/>
        <w:shd w:val="clear" w:color="auto" w:fill="auto"/>
        <w:bidi w:val="0"/>
        <w:spacing w:before="0" w:after="0"/>
        <w:ind w:left="0" w:right="0" w:firstLine="0"/>
        <w:jc w:val="center"/>
      </w:pPr>
      <w:r>
        <w:rPr>
          <w:spacing w:val="0"/>
          <w:w w:val="100"/>
          <w:position w:val="0"/>
          <w:shd w:val="clear" w:color="auto" w:fill="auto"/>
          <w:lang w:val="ru-RU" w:eastAsia="ru-RU" w:bidi="ru-RU"/>
        </w:rPr>
        <w:t>ул. Победы, 3, корп. «С»</w:t>
      </w:r>
    </w:p>
    <w:p>
      <w:pPr>
        <w:pStyle w:val="Style5"/>
        <w:keepNext w:val="0"/>
        <w:keepLines w:val="0"/>
        <w:widowControl w:val="0"/>
        <w:shd w:val="clear" w:color="auto" w:fill="auto"/>
        <w:bidi w:val="0"/>
        <w:spacing w:before="0" w:after="200"/>
        <w:ind w:left="0" w:right="0" w:firstLine="0"/>
        <w:jc w:val="center"/>
      </w:pPr>
      <w:r>
        <w:rPr>
          <w:spacing w:val="0"/>
          <w:w w:val="100"/>
          <w:position w:val="0"/>
          <w:shd w:val="clear" w:color="auto" w:fill="auto"/>
          <w:lang w:val="ru-RU" w:eastAsia="ru-RU" w:bidi="ru-RU"/>
        </w:rPr>
        <w:t>г. Назрань, 386102</w:t>
        <w:br/>
        <w:t>тел./факс (8732) 22-87-28</w:t>
        <w:br/>
        <w:t>е-тай: 1о06@Га8.§оу.ги</w:t>
      </w:r>
    </w:p>
    <w:p>
      <w:pPr>
        <w:pStyle w:val="Style8"/>
        <w:keepNext w:val="0"/>
        <w:keepLines w:val="0"/>
        <w:widowControl w:val="0"/>
        <w:shd w:val="clear" w:color="auto" w:fill="auto"/>
        <w:tabs>
          <w:tab w:leader="underscore" w:pos="1762" w:val="left"/>
          <w:tab w:leader="underscore" w:pos="3926" w:val="left"/>
        </w:tabs>
        <w:bidi w:val="0"/>
        <w:spacing w:before="0" w:after="240" w:line="264" w:lineRule="auto"/>
        <w:ind w:left="0" w:right="0" w:firstLine="0"/>
        <w:jc w:val="left"/>
        <w:rPr>
          <w:sz w:val="18"/>
          <w:szCs w:val="18"/>
        </w:rPr>
      </w:pPr>
      <w:r>
        <w:rPr>
          <w:b w:val="0"/>
          <w:bCs w:val="0"/>
          <w:spacing w:val="0"/>
          <w:w w:val="100"/>
          <w:position w:val="0"/>
          <w:sz w:val="18"/>
          <w:szCs w:val="18"/>
          <w:shd w:val="clear" w:color="auto" w:fill="auto"/>
          <w:lang w:val="ru-RU" w:eastAsia="ru-RU" w:bidi="ru-RU"/>
        </w:rPr>
        <w:tab/>
        <w:t xml:space="preserve"> №</w:t>
        <w:tab/>
      </w:r>
    </w:p>
    <w:p>
      <w:pPr>
        <w:pStyle w:val="Style11"/>
        <w:keepNext w:val="0"/>
        <w:keepLines w:val="0"/>
        <w:widowControl w:val="0"/>
        <w:shd w:val="clear" w:color="auto" w:fill="auto"/>
        <w:bidi w:val="0"/>
        <w:spacing w:before="0" w:after="0"/>
        <w:ind w:left="0" w:right="0" w:firstLine="0"/>
        <w:jc w:val="left"/>
      </w:pPr>
      <w:r>
        <w:rPr>
          <w:spacing w:val="0"/>
          <w:w w:val="100"/>
          <w:position w:val="0"/>
          <w:shd w:val="clear" w:color="auto" w:fill="auto"/>
          <w:lang w:val="ru-RU" w:eastAsia="ru-RU" w:bidi="ru-RU"/>
        </w:rPr>
        <w:t xml:space="preserve">На №  от</w:t>
      </w:r>
    </w:p>
    <w:p>
      <w:pPr>
        <w:widowControl w:val="0"/>
        <w:jc w:val="center"/>
        <w:rPr>
          <w:sz w:val="2"/>
          <w:szCs w:val="2"/>
        </w:rPr>
      </w:pPr>
      <w:r>
        <w:drawing>
          <wp:inline>
            <wp:extent cx="2597150" cy="182880"/>
            <wp:docPr id="2" name="Picutre 2"/>
            <a:graphic xmlns:a="http://schemas.openxmlformats.org/drawingml/2006/main">
              <a:graphicData uri="http://schemas.openxmlformats.org/drawingml/2006/picture">
                <pic:pic xmlns:pic="http://schemas.openxmlformats.org/drawingml/2006/picture">
                  <pic:nvPicPr>
                    <pic:cNvPr id="2" name="Picture 2"/>
                    <pic:cNvPicPr/>
                  </pic:nvPicPr>
                  <pic:blipFill>
                    <a:blip r:embed="rId7"/>
                    <a:stretch/>
                  </pic:blipFill>
                  <pic:spPr>
                    <a:xfrm>
                      <a:ext cx="2597150" cy="182880"/>
                    </a:xfrm>
                    <a:prstGeom prst="rect"/>
                  </pic:spPr>
                </pic:pic>
              </a:graphicData>
            </a:graphic>
          </wp:inline>
        </w:drawing>
      </w:r>
    </w:p>
    <w:p>
      <w:pPr>
        <w:spacing w:lineRule="exact" w:line="1"/>
        <w:rPr>
          <w:sz w:val="2"/>
          <w:szCs w:val="2"/>
        </w:rPr>
      </w:pPr>
      <w:r>
        <w:br w:type="column"/>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Заявитель:</w:t>
      </w:r>
    </w:p>
    <w:p>
      <w:pPr>
        <w:pStyle w:val="Style13"/>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ООО «Виталенд»</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Заказчик:</w:t>
      </w:r>
    </w:p>
    <w:p>
      <w:pPr>
        <w:pStyle w:val="Style13"/>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ГБУЗ «Назрановская районная больница»</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Уполномоченный орган:</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Комитет государственного заказа</w:t>
      </w:r>
    </w:p>
    <w:p>
      <w:pPr>
        <w:pStyle w:val="Style13"/>
        <w:keepNext w:val="0"/>
        <w:keepLines w:val="0"/>
        <w:widowControl w:val="0"/>
        <w:shd w:val="clear" w:color="auto" w:fill="auto"/>
        <w:bidi w:val="0"/>
        <w:spacing w:before="0" w:after="280" w:line="240" w:lineRule="auto"/>
        <w:ind w:left="0" w:right="0" w:firstLine="0"/>
        <w:jc w:val="left"/>
      </w:pPr>
      <w:r>
        <w:rPr>
          <w:color w:val="000000"/>
          <w:spacing w:val="0"/>
          <w:w w:val="100"/>
          <w:position w:val="0"/>
          <w:shd w:val="clear" w:color="auto" w:fill="auto"/>
          <w:lang w:val="ru-RU" w:eastAsia="ru-RU" w:bidi="ru-RU"/>
        </w:rPr>
        <w:t>Республики Ингушетия</w:t>
      </w:r>
    </w:p>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Электронная торговая площадка:</w:t>
      </w:r>
    </w:p>
    <w:p>
      <w:pPr>
        <w:pStyle w:val="Style13"/>
        <w:keepNext w:val="0"/>
        <w:keepLines w:val="0"/>
        <w:widowControl w:val="0"/>
        <w:shd w:val="clear" w:color="auto" w:fill="auto"/>
        <w:bidi w:val="0"/>
        <w:spacing w:before="0" w:after="0" w:line="240" w:lineRule="auto"/>
        <w:ind w:left="0" w:right="0" w:firstLine="0"/>
        <w:jc w:val="left"/>
        <w:sectPr>
          <w:footerReference w:type="default" r:id="rId9"/>
          <w:footnotePr>
            <w:pos w:val="pageBottom"/>
            <w:numFmt w:val="decimal"/>
            <w:numRestart w:val="continuous"/>
          </w:footnotePr>
          <w:pgSz w:w="11900" w:h="16840"/>
          <w:pgMar w:top="284" w:right="1477" w:bottom="1217" w:left="1140" w:header="0" w:footer="3" w:gutter="0"/>
          <w:pgNumType w:start="1"/>
          <w:cols w:num="2" w:space="1167"/>
          <w:noEndnote/>
          <w:rtlGutter w:val="0"/>
          <w:docGrid w:linePitch="360"/>
        </w:sectPr>
      </w:pPr>
      <w:r>
        <w:rPr>
          <w:color w:val="000000"/>
          <w:spacing w:val="0"/>
          <w:w w:val="100"/>
          <w:position w:val="0"/>
          <w:shd w:val="clear" w:color="auto" w:fill="auto"/>
          <w:lang w:val="ru-RU" w:eastAsia="ru-RU" w:bidi="ru-RU"/>
        </w:rPr>
        <w:t>АО «ЕЭТП» (ЪИр://го8екогд.ги)</w:t>
      </w: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line="240" w:lineRule="exact"/>
        <w:rPr>
          <w:sz w:val="19"/>
          <w:szCs w:val="19"/>
        </w:rPr>
      </w:pPr>
    </w:p>
    <w:p>
      <w:pPr>
        <w:widowControl w:val="0"/>
        <w:spacing w:before="109" w:after="109" w:line="240" w:lineRule="exact"/>
        <w:rPr>
          <w:sz w:val="19"/>
          <w:szCs w:val="19"/>
        </w:rPr>
      </w:pPr>
    </w:p>
    <w:p>
      <w:pPr>
        <w:widowControl w:val="0"/>
        <w:spacing w:line="1" w:lineRule="exact"/>
        <w:sectPr>
          <w:footnotePr>
            <w:pos w:val="pageBottom"/>
            <w:numFmt w:val="decimal"/>
            <w:numRestart w:val="continuous"/>
          </w:footnotePr>
          <w:type w:val="continuous"/>
          <w:pgSz w:w="11900" w:h="16840"/>
          <w:pgMar w:top="284" w:right="0" w:bottom="1217" w:left="0" w:header="0" w:footer="3" w:gutter="0"/>
          <w:cols w:space="720"/>
          <w:noEndnote/>
          <w:rtlGutter w:val="0"/>
          <w:docGrid w:linePitch="360"/>
        </w:sectPr>
      </w:pPr>
    </w:p>
    <w:p>
      <w:pPr>
        <w:pStyle w:val="Style13"/>
        <w:keepNext w:val="0"/>
        <w:keepLines w:val="0"/>
        <w:widowControl w:val="0"/>
        <w:shd w:val="clear" w:color="auto" w:fill="auto"/>
        <w:bidi w:val="0"/>
        <w:spacing w:before="0" w:after="80" w:line="240" w:lineRule="auto"/>
        <w:ind w:left="0" w:right="0" w:firstLine="0"/>
        <w:jc w:val="center"/>
      </w:pPr>
      <w:r>
        <w:rPr>
          <w:color w:val="000000"/>
          <w:spacing w:val="0"/>
          <w:w w:val="100"/>
          <w:position w:val="0"/>
          <w:shd w:val="clear" w:color="auto" w:fill="auto"/>
          <w:lang w:val="ru-RU" w:eastAsia="ru-RU" w:bidi="ru-RU"/>
        </w:rPr>
        <w:t>РЕШЕНИЕ</w:t>
      </w:r>
    </w:p>
    <w:p>
      <w:pPr>
        <w:pStyle w:val="Style1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по делу № 006/06/49-515/2023 о нарушении</w:t>
        <w:br/>
        <w:t>законодательства о контрактной системе</w:t>
      </w:r>
    </w:p>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г. Назрань</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Резолютивная часть решения объявлена 18 декабря 2023 года</w:t>
      </w:r>
    </w:p>
    <w:p>
      <w:pPr>
        <w:pStyle w:val="Style13"/>
        <w:keepNext w:val="0"/>
        <w:keepLines w:val="0"/>
        <w:widowControl w:val="0"/>
        <w:shd w:val="clear" w:color="auto" w:fill="auto"/>
        <w:bidi w:val="0"/>
        <w:spacing w:before="0" w:after="280" w:line="240" w:lineRule="auto"/>
        <w:ind w:left="0" w:right="0" w:firstLine="0"/>
        <w:jc w:val="both"/>
      </w:pPr>
      <w:r>
        <w:rPr>
          <w:color w:val="000000"/>
          <w:spacing w:val="0"/>
          <w:w w:val="100"/>
          <w:position w:val="0"/>
          <w:shd w:val="clear" w:color="auto" w:fill="auto"/>
          <w:lang w:val="ru-RU" w:eastAsia="ru-RU" w:bidi="ru-RU"/>
        </w:rPr>
        <w:t>В полном объеме решение изготовлено 18 декабря 2023 года</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Комиссия Управления Федеральной антимонопольной службы по Республике Ингушетия (далее - Управление) по контролю в сфере закупок (далее - Комиссия Управления) в составе:</w:t>
      </w:r>
    </w:p>
    <w:p>
      <w:pPr>
        <w:pStyle w:val="Style13"/>
        <w:keepNext w:val="0"/>
        <w:keepLines w:val="0"/>
        <w:widowControl w:val="0"/>
        <w:shd w:val="clear" w:color="auto" w:fill="auto"/>
        <w:bidi w:val="0"/>
        <w:spacing w:before="0" w:after="0" w:line="240" w:lineRule="auto"/>
        <w:ind w:left="0" w:right="0" w:firstLine="740"/>
        <w:jc w:val="both"/>
      </w:pPr>
      <w:r>
        <w:rPr>
          <w:color w:val="000000"/>
          <w:spacing w:val="0"/>
          <w:w w:val="100"/>
          <w:position w:val="0"/>
          <w:shd w:val="clear" w:color="auto" w:fill="auto"/>
          <w:lang w:val="ru-RU" w:eastAsia="ru-RU" w:bidi="ru-RU"/>
        </w:rPr>
        <w:t>Председатель комиссии: А.А. Аушев - заместитель начальника отдела контроля торгов Управления;</w:t>
      </w:r>
    </w:p>
    <w:p>
      <w:pPr>
        <w:pStyle w:val="Style13"/>
        <w:keepNext w:val="0"/>
        <w:keepLines w:val="0"/>
        <w:widowControl w:val="0"/>
        <w:shd w:val="clear" w:color="auto" w:fill="auto"/>
        <w:bidi w:val="0"/>
        <w:spacing w:before="0" w:after="180" w:line="240" w:lineRule="auto"/>
        <w:ind w:left="0" w:right="0" w:firstLine="740"/>
        <w:jc w:val="both"/>
      </w:pPr>
      <w:r>
        <w:rPr>
          <w:color w:val="000000"/>
          <w:spacing w:val="0"/>
          <w:w w:val="100"/>
          <w:position w:val="0"/>
          <w:shd w:val="clear" w:color="auto" w:fill="auto"/>
          <w:lang w:val="ru-RU" w:eastAsia="ru-RU" w:bidi="ru-RU"/>
        </w:rPr>
        <w:t>Члены комиссии:</w:t>
      </w:r>
    </w:p>
    <w:p>
      <w:pPr>
        <w:pStyle w:val="Style15"/>
        <w:keepNext/>
        <w:keepLines/>
        <w:widowControl w:val="0"/>
        <w:shd w:val="clear" w:color="auto" w:fill="auto"/>
        <w:bidi w:val="0"/>
        <w:spacing w:before="0" w:line="240" w:lineRule="auto"/>
        <w:ind w:left="0" w:right="0" w:firstLine="0"/>
        <w:jc w:val="left"/>
        <w:sectPr>
          <w:footnotePr>
            <w:pos w:val="pageBottom"/>
            <w:numFmt w:val="decimal"/>
            <w:numRestart w:val="continuous"/>
          </w:footnotePr>
          <w:type w:val="continuous"/>
          <w:pgSz w:w="11900" w:h="16840"/>
          <w:pgMar w:top="284" w:right="537" w:bottom="1217" w:left="1097" w:header="0" w:footer="3" w:gutter="0"/>
          <w:cols w:space="720"/>
          <w:noEndnote/>
          <w:rtlGutter w:val="0"/>
          <w:docGrid w:linePitch="360"/>
        </w:sectPr>
      </w:pPr>
      <w:bookmarkStart w:id="0" w:name="bookmark0"/>
      <w:r>
        <w:rPr>
          <w:color w:val="000000"/>
          <w:spacing w:val="0"/>
          <w:w w:val="100"/>
          <w:position w:val="0"/>
          <w:shd w:val="clear" w:color="auto" w:fill="auto"/>
          <w:lang w:val="ru-RU" w:eastAsia="ru-RU" w:bidi="ru-RU"/>
        </w:rPr>
        <w:t>ПНИ III11111111111111II</w:t>
      </w:r>
      <w:bookmarkEnd w:id="0"/>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М.М. Точиев - главный специалист-эксперт Управления;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К.Х.Бекбузаров - главный специалист-эксперт Управления.</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присутствии представителя заявителя жалобы - ООО «Виталенд» (далее - Заявитель) - И.В. Циммерман (по доверенности);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отсутствии представителей:</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уполномоченного органа - Комитета государственного заказа Республики Ингушетия (далее - Уполномоченный орган);</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заказчика - ГБУЗ «Назрановская районная больница» (далее - Заказчик).</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Все стороны уведомлены надлежащим образом, заявлений и ходатайств не поступало.</w:t>
      </w:r>
    </w:p>
    <w:p>
      <w:pPr>
        <w:pStyle w:val="Style13"/>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Рассмотрев жалобу Заявителя на действия (бездействия) Заказчика и Уполномоченного органа при проведении процедуры закупки способом электронного аукциона № 0114500000823001857 на поставку медикаментов (далее - Закупка), выразившиеся в нарушении норм Федерального закона №44-ФЗ от 05.04.2013г. «О контрактной системе в сфере закупок товаров, работ, услуг для обеспечения государственных и муниципальных нужд» (далее - Закон о контрактной системе), проведя внеплановую проверку в соответствии со статьями 99 и 106 Закона о контрактной системе,</w:t>
      </w:r>
    </w:p>
    <w:p>
      <w:pPr>
        <w:pStyle w:val="Style1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УСТАНОВИЛА: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Уполномоченным органом в единой информационной системе в сети Интернет по размещению информации о размещении заказов \\'\\л\'./а1&lt;ир1&lt;1.до\'.П1 (далее - ЕИС) размещено извещение о проведении Закупки.</w:t>
      </w:r>
    </w:p>
    <w:p>
      <w:pPr>
        <w:pStyle w:val="Style13"/>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Согласно жалобе Уполномоченным органом заявка Заявителя неправомерно признана несоответствующей требованиям Закона о контрактной системе и извещения Закупки.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извещением об осуществлении Закупки, протоколами, составленными при определении поставщика (подрядчика, исполнителя):</w:t>
      </w:r>
    </w:p>
    <w:p>
      <w:pPr>
        <w:pStyle w:val="Style13"/>
        <w:keepNext w:val="0"/>
        <w:keepLines w:val="0"/>
        <w:widowControl w:val="0"/>
        <w:numPr>
          <w:ilvl w:val="0"/>
          <w:numId w:val="1"/>
        </w:numPr>
        <w:shd w:val="clear" w:color="auto" w:fill="auto"/>
        <w:tabs>
          <w:tab w:pos="111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извещение об осуществлении закупки размещено в ЕИС - 28.11.2023;</w:t>
      </w:r>
    </w:p>
    <w:p>
      <w:pPr>
        <w:pStyle w:val="Style13"/>
        <w:keepNext w:val="0"/>
        <w:keepLines w:val="0"/>
        <w:widowControl w:val="0"/>
        <w:numPr>
          <w:ilvl w:val="0"/>
          <w:numId w:val="1"/>
        </w:numPr>
        <w:shd w:val="clear" w:color="auto" w:fill="auto"/>
        <w:tabs>
          <w:tab w:pos="112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способ определения поставщика (подрядчика, исполнителя) - электронный аукцион;</w:t>
      </w:r>
    </w:p>
    <w:p>
      <w:pPr>
        <w:pStyle w:val="Style13"/>
        <w:keepNext w:val="0"/>
        <w:keepLines w:val="0"/>
        <w:widowControl w:val="0"/>
        <w:numPr>
          <w:ilvl w:val="0"/>
          <w:numId w:val="1"/>
        </w:numPr>
        <w:shd w:val="clear" w:color="auto" w:fill="auto"/>
        <w:tabs>
          <w:tab w:pos="113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начальная (максимальная) цена контракта - 201 780,00 рублей;</w:t>
      </w:r>
    </w:p>
    <w:p>
      <w:pPr>
        <w:pStyle w:val="Style13"/>
        <w:keepNext w:val="0"/>
        <w:keepLines w:val="0"/>
        <w:widowControl w:val="0"/>
        <w:numPr>
          <w:ilvl w:val="0"/>
          <w:numId w:val="1"/>
        </w:numPr>
        <w:shd w:val="clear" w:color="auto" w:fill="auto"/>
        <w:tabs>
          <w:tab w:pos="114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дата и время окончания подачи заявок - 06.12.2023 09:00;</w:t>
      </w:r>
    </w:p>
    <w:p>
      <w:pPr>
        <w:pStyle w:val="Style13"/>
        <w:keepNext w:val="0"/>
        <w:keepLines w:val="0"/>
        <w:widowControl w:val="0"/>
        <w:numPr>
          <w:ilvl w:val="0"/>
          <w:numId w:val="1"/>
        </w:numPr>
        <w:shd w:val="clear" w:color="auto" w:fill="auto"/>
        <w:tabs>
          <w:tab w:pos="1131" w:val="left"/>
        </w:tabs>
        <w:bidi w:val="0"/>
        <w:spacing w:before="0" w:after="280" w:line="240" w:lineRule="auto"/>
        <w:ind w:left="0" w:right="0" w:firstLine="720"/>
        <w:jc w:val="both"/>
      </w:pPr>
      <w:r>
        <w:rPr>
          <w:color w:val="000000"/>
          <w:spacing w:val="0"/>
          <w:w w:val="100"/>
          <w:position w:val="0"/>
          <w:shd w:val="clear" w:color="auto" w:fill="auto"/>
          <w:lang w:val="ru-RU" w:eastAsia="ru-RU" w:bidi="ru-RU"/>
        </w:rPr>
        <w:t>дата подведения итогов определения поставщика (подрядчика, исполнителя) - 08.12.2023.</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Изучив представленные документы и материалы, руководствуясь статьей 106 Закона о контрактной системе, Комиссия Управления пришла к следующим выводам.</w:t>
      </w:r>
    </w:p>
    <w:p>
      <w:pPr>
        <w:pStyle w:val="Style13"/>
        <w:keepNext w:val="0"/>
        <w:keepLines w:val="0"/>
        <w:widowControl w:val="0"/>
        <w:shd w:val="clear" w:color="auto" w:fill="auto"/>
        <w:bidi w:val="0"/>
        <w:spacing w:before="0" w:after="280" w:line="271" w:lineRule="auto"/>
        <w:ind w:left="0" w:right="0" w:firstLine="720"/>
        <w:jc w:val="both"/>
        <w:rPr>
          <w:sz w:val="24"/>
          <w:szCs w:val="24"/>
        </w:rPr>
        <w:sectPr>
          <w:headerReference w:type="default" r:id="rId10"/>
          <w:footerReference w:type="default" r:id="rId11"/>
          <w:footnotePr>
            <w:pos w:val="pageBottom"/>
            <w:numFmt w:val="decimal"/>
            <w:numRestart w:val="continuous"/>
          </w:footnotePr>
          <w:pgSz w:w="11900" w:h="16840"/>
          <w:pgMar w:top="1710" w:right="532" w:bottom="803" w:left="1106" w:header="0" w:footer="375"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Согласно части 1 статьи 49 Закона о контрактной системе электронный аукцион начинается с размещения в единой информационной системе извещения об осуществлении закупки. Заявка на участие в закупке должна содержать информацию </w:t>
      </w:r>
      <w:r>
        <w:rPr>
          <w:color w:val="000000"/>
          <w:spacing w:val="0"/>
          <w:w w:val="100"/>
          <w:position w:val="0"/>
          <w:sz w:val="24"/>
          <w:szCs w:val="24"/>
          <w:shd w:val="clear" w:color="auto" w:fill="auto"/>
          <w:lang w:val="ru-RU" w:eastAsia="ru-RU" w:bidi="ru-RU"/>
        </w:rPr>
        <w:t>2023-3854</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и документы, предусмотренные подпунктами «м» - «п» пункта 1, подпунктами «а» - «в» пункта 2, пунктом 5 части 1 статьи 43 Закона о контрактной системе. Заявка также может содержать информацию и документы, предусмотренные подпунктом «д» пункта 2 части 1 статьи 43 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Подпунктом «а» пункта 1 части 5 статьи 49 Закона о контрактной системе предусмотрено, что не позднее двух рабочих дней со дня, следующего за датой окончания срока подачи заявок на участие в закупке, но не позднее даты подведения итогов определения поставщика (подрядчика, исполнителя), установленной в извещении об осуществлении закупки члены комиссии по осуществлению закупок рассматривают заявки на участие в закупке, информацию и документы, направленные оператором электронной площадки в соответствии с пунктом 4 части 4 настоящей статьи,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 предусмотренным пунктами 1 - 8 части 12 статьи 48 Закона о контрактной системе.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Пунктами 1 - 8 части 12 статьи 48 Закона о контрактной системе установлено, что при рассмотрении вторых частей заявок на участие в закупке соответствующая заявка подлежит отклонению в случаях:</w:t>
      </w:r>
    </w:p>
    <w:p>
      <w:pPr>
        <w:pStyle w:val="Style13"/>
        <w:keepNext w:val="0"/>
        <w:keepLines w:val="0"/>
        <w:widowControl w:val="0"/>
        <w:numPr>
          <w:ilvl w:val="0"/>
          <w:numId w:val="3"/>
        </w:numPr>
        <w:shd w:val="clear" w:color="auto" w:fill="auto"/>
        <w:tabs>
          <w:tab w:pos="108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(за исключением случаев, предусмотренных настоящим Федеральным законом) в заявке на участие в закупке информации и документов, предусмотренных извещением об осуществлении закупки в соответствии с настоящим Федеральным законом (за исключением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3"/>
        <w:keepNext w:val="0"/>
        <w:keepLines w:val="0"/>
        <w:widowControl w:val="0"/>
        <w:numPr>
          <w:ilvl w:val="0"/>
          <w:numId w:val="3"/>
        </w:numPr>
        <w:shd w:val="clear" w:color="auto" w:fill="auto"/>
        <w:tabs>
          <w:tab w:pos="108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непредставления информации и документов, предусмотренных пунктами 2 и 3 части 6 статьи 43 настоящего Федерального закона, несоответствия таких информации и документов требованиям, установленным в извещении об осуществлении закупки;</w:t>
      </w:r>
    </w:p>
    <w:p>
      <w:pPr>
        <w:pStyle w:val="Style13"/>
        <w:keepNext w:val="0"/>
        <w:keepLines w:val="0"/>
        <w:widowControl w:val="0"/>
        <w:numPr>
          <w:ilvl w:val="0"/>
          <w:numId w:val="3"/>
        </w:numPr>
        <w:shd w:val="clear" w:color="auto" w:fill="auto"/>
        <w:tabs>
          <w:tab w:pos="108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несоответствия участника закупки требованиям, установленным в извещении об осуществлении закупки в соответствии с частью 1 статьи 31 настоящего Федерального закона, требованиям, установленным в извещении об осуществлении закупки в соответствии с частями 1.1, 2 и 2.1 (при наличии таких требований) статьи 31 настоящего Федерального закона;</w:t>
      </w:r>
    </w:p>
    <w:p>
      <w:pPr>
        <w:pStyle w:val="Style13"/>
        <w:keepNext w:val="0"/>
        <w:keepLines w:val="0"/>
        <w:widowControl w:val="0"/>
        <w:numPr>
          <w:ilvl w:val="0"/>
          <w:numId w:val="3"/>
        </w:numPr>
        <w:shd w:val="clear" w:color="auto" w:fill="auto"/>
        <w:tabs>
          <w:tab w:pos="108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предусмотренных нормативными правовыми актами, принятыми в соответствии со статьей 14 настоящего Федерального закона (за исключением случаев непредставления информации и документов, предусмотренных пунктом 5 части 1 статьи 43 настоящего Федерального закона);</w:t>
      </w:r>
    </w:p>
    <w:p>
      <w:pPr>
        <w:pStyle w:val="Style13"/>
        <w:keepNext w:val="0"/>
        <w:keepLines w:val="0"/>
        <w:widowControl w:val="0"/>
        <w:numPr>
          <w:ilvl w:val="0"/>
          <w:numId w:val="3"/>
        </w:numPr>
        <w:shd w:val="clear" w:color="auto" w:fill="auto"/>
        <w:tabs>
          <w:tab w:pos="1085" w:val="left"/>
        </w:tabs>
        <w:bidi w:val="0"/>
        <w:spacing w:before="0" w:after="0" w:line="240" w:lineRule="auto"/>
        <w:ind w:left="0" w:right="0" w:firstLine="720"/>
        <w:jc w:val="both"/>
        <w:sectPr>
          <w:headerReference w:type="default" r:id="rId12"/>
          <w:footerReference w:type="default" r:id="rId13"/>
          <w:footnotePr>
            <w:pos w:val="pageBottom"/>
            <w:numFmt w:val="decimal"/>
            <w:numRestart w:val="continuous"/>
          </w:footnotePr>
          <w:pgSz w:w="11900" w:h="16840"/>
          <w:pgMar w:top="1710" w:right="541" w:bottom="1211" w:left="1106" w:header="0" w:footer="3" w:gutter="0"/>
          <w:cols w:space="720"/>
          <w:noEndnote/>
          <w:rtlGutter w:val="0"/>
          <w:docGrid w:linePitch="360"/>
        </w:sectPr>
      </w:pPr>
      <w:r>
        <w:rPr>
          <w:color w:val="000000"/>
          <w:spacing w:val="0"/>
          <w:w w:val="100"/>
          <w:position w:val="0"/>
          <w:shd w:val="clear" w:color="auto" w:fill="auto"/>
          <w:lang w:val="ru-RU" w:eastAsia="ru-RU" w:bidi="ru-RU"/>
        </w:rPr>
        <w:t>непредставления информации и документов, предусмотренных пунктом 5 части 1 статьи 43 настоящего Федерального закона, если такие документы предусмотрены нормативными правовыми актами, принятыми в соответствии с частью 3 статьи 14 настоящего Федерального закона (в случае установления в соответствии со статьей 14 настоящего Федерального закона в извещении об</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осуществлении закупки запрета допуска товаров, происходящих из иностранного государства или группы иностранных государств);</w:t>
      </w:r>
    </w:p>
    <w:p>
      <w:pPr>
        <w:pStyle w:val="Style13"/>
        <w:keepNext w:val="0"/>
        <w:keepLines w:val="0"/>
        <w:widowControl w:val="0"/>
        <w:numPr>
          <w:ilvl w:val="0"/>
          <w:numId w:val="3"/>
        </w:numPr>
        <w:shd w:val="clear" w:color="auto" w:fill="auto"/>
        <w:tabs>
          <w:tab w:pos="108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выявления отнесения участника закупки к организациям, предусмотренным пунктом 4 статьи 2 Федерального закона от 4 июня 2018 года № 127-ФЗ «О мерах воздействия (противодействия) на недружественные действия Соединенных Штатов Америки и иных иностранных государств», в случае осуществления закупки работ, услуг, включенных в перечень, определенный Правительством Российской Федерации в соответствии с указанным пунктом;</w:t>
      </w:r>
    </w:p>
    <w:p>
      <w:pPr>
        <w:pStyle w:val="Style13"/>
        <w:keepNext w:val="0"/>
        <w:keepLines w:val="0"/>
        <w:widowControl w:val="0"/>
        <w:numPr>
          <w:ilvl w:val="0"/>
          <w:numId w:val="3"/>
        </w:numPr>
        <w:shd w:val="clear" w:color="auto" w:fill="auto"/>
        <w:tabs>
          <w:tab w:pos="180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предусмотренных частью 6 статьи 45 настоящего Федерального закона;</w:t>
      </w:r>
    </w:p>
    <w:p>
      <w:pPr>
        <w:pStyle w:val="Style13"/>
        <w:keepNext w:val="0"/>
        <w:keepLines w:val="0"/>
        <w:widowControl w:val="0"/>
        <w:numPr>
          <w:ilvl w:val="0"/>
          <w:numId w:val="3"/>
        </w:numPr>
        <w:shd w:val="clear" w:color="auto" w:fill="auto"/>
        <w:tabs>
          <w:tab w:pos="1085"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выявления недостоверной информации, содержащейся в заявке на участие в закупке.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Комиссией Управления установлено, что согласно протоколу подведения итогов определения поставщика (подрядчика, исполнителя) от 08.12.2023 №ИЭА1 заявка Заявителя признана несоответствующей требованиям Закона о контрактной системе и извещения Закупки по следующим основаниям:</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«Отклонить заявку на участие в закупке по п.4 ч.12 ст.48 №44-ФЗ «В соответствии с требованиями нормативных правовых актов, принятых в соответствии со ст. 14 Закона № 44 ФЗ» На основании статьи 14 Федерального закона от 05.04.2013 № 44-ФЗ в части несоответствия запретам, ограничениям, условиям допуска товаров, происходящих из иностранного государства или группы иностранных государств, работ, услуг, соответственно выполняемых, оказываемых иностранными лицами. Данные требования отражены в извещении об аукционе, согласно которому установлены ограничения и условия допуска, происходящих из иностранных государств лекарственных препаратов, включенных в перечень жизненно необходимых и важнейших лекарственных препаратов, в соответствии с постановлением Правительства Российской Федерации от 30 ноября 2015 г. № 1289. Данным постановлением определено, что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13"/>
        <w:keepNext w:val="0"/>
        <w:keepLines w:val="0"/>
        <w:widowControl w:val="0"/>
        <w:shd w:val="clear" w:color="auto" w:fill="auto"/>
        <w:bidi w:val="0"/>
        <w:spacing w:before="0" w:after="0" w:line="283" w:lineRule="auto"/>
        <w:ind w:left="0" w:right="0" w:firstLine="720"/>
        <w:jc w:val="both"/>
        <w:rPr>
          <w:sz w:val="24"/>
          <w:szCs w:val="24"/>
        </w:rPr>
      </w:pPr>
      <w:r>
        <w:rPr>
          <w:color w:val="000000"/>
          <w:spacing w:val="0"/>
          <w:w w:val="100"/>
          <w:position w:val="0"/>
          <w:sz w:val="28"/>
          <w:szCs w:val="28"/>
          <w:shd w:val="clear" w:color="auto" w:fill="auto"/>
          <w:lang w:val="ru-RU" w:eastAsia="ru-RU" w:bidi="ru-RU"/>
        </w:rPr>
        <w:t xml:space="preserve">содержат предложения о поставке лекарственных препаратов, страной происхождения которых являются государства - члены Евразийского экономического </w:t>
      </w:r>
      <w:r>
        <w:rPr>
          <w:color w:val="000000"/>
          <w:spacing w:val="0"/>
          <w:w w:val="100"/>
          <w:position w:val="0"/>
          <w:sz w:val="24"/>
          <w:szCs w:val="24"/>
          <w:shd w:val="clear" w:color="auto" w:fill="auto"/>
          <w:lang w:val="ru-RU" w:eastAsia="ru-RU" w:bidi="ru-RU"/>
        </w:rPr>
        <w:t>2023-3854</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союза;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участником закупки не представлены документы в соответствии п. 2 постановления Правительства Российской Федерации от 30 ноября 2015 г. № 1289. ».</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Рассматривая указанное основание отклонения заявки Заявителя Комиссией Управления отмечено следующее.</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соответствии с частью 1 статьи 14 Закона о контрактной системе при осуществлении заказчиками закупок к товарам, происходящим из иностранного государства или группы иностранных государств, работам, услугам, соответственно выполняемым, оказываемым иностранными лицами, применяется национальный режим на равных условиях с товарами российского происхождения, работами, услугами, соответственно выполняемыми, оказываемыми российскими лицами, в случаях и на условиях, которые предусмотрены международными договорами Российской Федерации.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 целях защиты основ конституционного строя, обеспечения обороны страны и безопасности государства, защиты внутреннего рынка Российской Федерации, развития национальной экономики, поддержки российских товаропроизводителей нормативными правовыми актами Правительства Российской Федерации устанавливаются запрет на допуск товаров, происходящих из иностранных государств, работ, услуг, соответственно выполняемых, оказываемых иностранными лицами, и ограничения допуска указанных товаров, работ, услуг, включая минимальную обязательную долю закупок российских товаров, в том числе товаров, поставляемых при выполнении закупаемых работ, оказании закупаемых услуг (далее - минимальная доля закупок), и перечень таких товаров, для целей осуществления закупок. В случае, если указанными нормативными правовыми актами Правительства Российской Федерации предусмотрены обстоятельства, допускающие исключения из установленных в соответствии с настоящей частью запрета или ограничений, заказчики при наличии указанных обстоятельств размещают в единой информационной системе обоснование невозможности соблюдения указанных запрета или ограничений, если такими актами не установлено иное. В таких нормативных правовых актах устанавливается порядок подготовки обоснования невозможности соблюдения указанных запрета или ограничений, а также требования к его содержанию. Определение страны происхождения указанных товаров осуществляется в соответствии с законодательством Российской Федерации (часть 3 статьи 14 Закона о контрактной системе).</w:t>
      </w:r>
    </w:p>
    <w:p>
      <w:pPr>
        <w:pStyle w:val="Style13"/>
        <w:keepNext w:val="0"/>
        <w:keepLines w:val="0"/>
        <w:widowControl w:val="0"/>
        <w:shd w:val="clear" w:color="auto" w:fill="auto"/>
        <w:bidi w:val="0"/>
        <w:spacing w:before="0" w:after="0" w:line="271" w:lineRule="auto"/>
        <w:ind w:left="0" w:right="0" w:firstLine="720"/>
        <w:jc w:val="both"/>
        <w:rPr>
          <w:sz w:val="24"/>
          <w:szCs w:val="24"/>
        </w:rPr>
        <w:sectPr>
          <w:headerReference w:type="default" r:id="rId14"/>
          <w:footerReference w:type="default" r:id="rId15"/>
          <w:footnotePr>
            <w:pos w:val="pageBottom"/>
            <w:numFmt w:val="decimal"/>
            <w:numRestart w:val="continuous"/>
          </w:footnotePr>
          <w:pgSz w:w="11900" w:h="16840"/>
          <w:pgMar w:top="1705" w:right="542" w:bottom="788" w:left="1105" w:header="0" w:footer="360" w:gutter="0"/>
          <w:cols w:space="720"/>
          <w:noEndnote/>
          <w:rtlGutter w:val="0"/>
          <w:docGrid w:linePitch="360"/>
        </w:sectPr>
      </w:pPr>
      <w:r>
        <w:rPr>
          <w:color w:val="000000"/>
          <w:spacing w:val="0"/>
          <w:w w:val="100"/>
          <w:position w:val="0"/>
          <w:sz w:val="28"/>
          <w:szCs w:val="28"/>
          <w:shd w:val="clear" w:color="auto" w:fill="auto"/>
          <w:lang w:val="ru-RU" w:eastAsia="ru-RU" w:bidi="ru-RU"/>
        </w:rPr>
        <w:t xml:space="preserve">Согласно извещению Закупки Заказчиком установлено ограничения в соответствии с требованиями Постановления Правительства РФ от 30.11.2015 № 1289 «Об ограничениях и условиях допуска происходящих из иностранных </w:t>
      </w:r>
      <w:r>
        <w:rPr>
          <w:color w:val="000000"/>
          <w:spacing w:val="0"/>
          <w:w w:val="100"/>
          <w:position w:val="0"/>
          <w:sz w:val="24"/>
          <w:szCs w:val="24"/>
          <w:shd w:val="clear" w:color="auto" w:fill="auto"/>
          <w:lang w:val="ru-RU" w:eastAsia="ru-RU" w:bidi="ru-RU"/>
        </w:rPr>
        <w:t>2023-3854</w:t>
      </w:r>
    </w:p>
    <w:p>
      <w:pPr>
        <w:pStyle w:val="Style13"/>
        <w:keepNext w:val="0"/>
        <w:keepLines w:val="0"/>
        <w:widowControl w:val="0"/>
        <w:shd w:val="clear" w:color="auto" w:fill="auto"/>
        <w:bidi w:val="0"/>
        <w:spacing w:before="0" w:after="0" w:line="240" w:lineRule="auto"/>
        <w:ind w:left="0" w:right="0" w:firstLine="0"/>
        <w:jc w:val="both"/>
      </w:pPr>
      <w:r>
        <w:rPr>
          <w:color w:val="000000"/>
          <w:spacing w:val="0"/>
          <w:w w:val="100"/>
          <w:position w:val="0"/>
          <w:shd w:val="clear" w:color="auto" w:fill="auto"/>
          <w:lang w:val="ru-RU" w:eastAsia="ru-RU" w:bidi="ru-RU"/>
        </w:rPr>
        <w:t>государств лекарственных препаратов, включенных в перечень жизненно необходимых и важнейших лекарственных препаратов, для целей осуществления закупок для обеспечения государственных и муниципальных нужд» (далее — Постановление № 1289).</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При этом пунктом 1 Постановления № 1289 установлено, что для целей осуществления закупок лекарственного препарата, включенного в перечень жизненно необходимых и важнейших лекарственных препаратов (далее - лекарственный препарат), для обеспечения государственных и муниципальных нужд (с одним международным непатентованным наименованием или при отсутствии такого наименования - с химическим или группировочным наименованием), являющегося предметом одного контракта (одного лота), заказчик отклоняет все заявки (окончательные предложения), содержащие предложения о поставке лекарственных препаратов, происходящих из иностранных государств (за исключением государств - членов Евразийского экономического союза и Донецкой Народной Республики, Луганской Народной Республики), в том числе о поставке 2 и более лекарственных препаратов, страной происхождения хотя бы одного из которых не является государство - член Евразийского экономического союза или Донецкая Народная Республика, Луганская Народная Республика, при условии, что на участие в определении поставщика подано не менее 2 заявок (окончательных предложений), которые удовлетворяют требованиям извещения об осуществлении закупки и (или) документации о закупке и которые одновременно:</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содержат предложения о поставке лекарственных препаратов, страной происхождения которых являются государства - члены Евразийского экономического союза и (или) Донецкая Народная Республика, Луганская Народная Республика;</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не содержат предложений о поставке лекарственных препаратов одного и того же производителя либо производителей, входящих в одну группу лиц, соответствующую признакам, предусмотренным статьей 9 Федерального закона "О защите конкуренции", при сопоставлении этих заявок (окончательных предложений).</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Согласно пункту 2 Постановления № 1289 подтверждением страны происхождения лекарственного препарата является один из следующих документов:</w:t>
      </w:r>
    </w:p>
    <w:p>
      <w:pPr>
        <w:pStyle w:val="Style13"/>
        <w:keepNext w:val="0"/>
        <w:keepLines w:val="0"/>
        <w:widowControl w:val="0"/>
        <w:numPr>
          <w:ilvl w:val="0"/>
          <w:numId w:val="5"/>
        </w:numPr>
        <w:shd w:val="clear" w:color="auto" w:fill="auto"/>
        <w:tabs>
          <w:tab w:pos="1052"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13"/>
        <w:keepNext w:val="0"/>
        <w:keepLines w:val="0"/>
        <w:widowControl w:val="0"/>
        <w:numPr>
          <w:ilvl w:val="0"/>
          <w:numId w:val="5"/>
        </w:numPr>
        <w:shd w:val="clear" w:color="auto" w:fill="auto"/>
        <w:tabs>
          <w:tab w:pos="1071" w:val="left"/>
        </w:tabs>
        <w:bidi w:val="0"/>
        <w:spacing w:before="0" w:after="0" w:line="240" w:lineRule="auto"/>
        <w:ind w:left="0" w:right="0" w:firstLine="720"/>
        <w:jc w:val="both"/>
      </w:pPr>
      <w:r>
        <w:rPr>
          <w:color w:val="000000"/>
          <w:spacing w:val="0"/>
          <w:w w:val="100"/>
          <w:position w:val="0"/>
          <w:shd w:val="clear" w:color="auto" w:fill="auto"/>
          <w:lang w:val="ru-RU" w:eastAsia="ru-RU" w:bidi="ru-RU"/>
        </w:rPr>
        <w:t xml:space="preserve">заключение о подтверждении производства промышленной продукции на территории Российской Федерации, выдаваемое Министерством промышленности и торговли Российской Федерации в соответствии с Правилами выдачи заключения о подтверждении производства промышленной продукции на территории Российской Федерации, утвержденными постановлением Правительства Российской Федерации </w:t>
      </w:r>
      <w:r>
        <w:rPr>
          <w:color w:val="000000"/>
          <w:spacing w:val="0"/>
          <w:w w:val="100"/>
          <w:position w:val="0"/>
          <w:shd w:val="clear" w:color="auto" w:fill="auto"/>
          <w:lang w:val="ru-RU" w:eastAsia="ru-RU" w:bidi="ru-RU"/>
        </w:rPr>
        <w:t>от 17 июля 2015 г. № 719 "О подтверждении производства промышленной продукции на территории Российской Федерации";</w:t>
      </w:r>
    </w:p>
    <w:p>
      <w:pPr>
        <w:pStyle w:val="Style13"/>
        <w:keepNext w:val="0"/>
        <w:keepLines w:val="0"/>
        <w:widowControl w:val="0"/>
        <w:numPr>
          <w:ilvl w:val="0"/>
          <w:numId w:val="5"/>
        </w:numPr>
        <w:shd w:val="clear" w:color="auto" w:fill="auto"/>
        <w:tabs>
          <w:tab w:pos="1057" w:val="left"/>
        </w:tabs>
        <w:bidi w:val="0"/>
        <w:spacing w:before="0" w:after="0" w:line="240" w:lineRule="auto"/>
        <w:ind w:left="0" w:right="0" w:firstLine="720"/>
        <w:jc w:val="both"/>
      </w:pPr>
      <w:r>
        <w:rPr>
          <w:color w:val="000000"/>
          <w:spacing w:val="0"/>
          <w:w w:val="100"/>
          <w:position w:val="0"/>
          <w:shd w:val="clear" w:color="auto" w:fill="auto"/>
          <w:lang w:val="ru-RU" w:eastAsia="ru-RU" w:bidi="ru-RU"/>
        </w:rPr>
        <w:t>сертификат о происхождении товара, выдаваемый уполномоченными органами (организациями) Донецкой Народной Республики, Луганской Народной Республики,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На основании вышеизложенного согласно протоколу подведения итогов Закупки заявка Заявителя признана несоответствующей требованиями Закона о контрактной системе и извещения Закупки ввиду того, что таким участник в составе заявка не представления сведения и документы, в соответствии с пунктами 1 и 2 Постановления №1289.</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Вместе с тем, в составе заявки Заявителя содержится сертификат о происхождении товара, выдаваемый уполномоченным органом (организацией) государства - члена Евразийского экономического союза по форме, установленной Правилами определения страны происхождения товаров, являющимися неотъемлемой частью Соглашения о Правилах определения страны происхождения товаров в Содружестве Независимых Государств от 20 ноября 2009 г., и в соответствии с критериями определения страны происхождения товаров, предусмотренными указанными Правилами (Сертификат о происхождении товара по форме СТ-1 №2677982).</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Более того, данный сертификат о происхождении товара также представлен в составе заявок других участников и наряду с Сертификатом о происхождении товара по форме СТ-1 №2709144 явился основанием применения положений Постановления №1289 ввиду наличия конкуренции между двумя производителями из государств, указанных в Постановлении 1289.</w:t>
      </w:r>
    </w:p>
    <w:p>
      <w:pPr>
        <w:pStyle w:val="Style13"/>
        <w:keepNext w:val="0"/>
        <w:keepLines w:val="0"/>
        <w:widowControl w:val="0"/>
        <w:shd w:val="clear" w:color="auto" w:fill="auto"/>
        <w:bidi w:val="0"/>
        <w:spacing w:before="0" w:after="0" w:line="240" w:lineRule="auto"/>
        <w:ind w:left="0" w:right="0" w:firstLine="720"/>
        <w:jc w:val="both"/>
      </w:pPr>
      <w:r>
        <w:rPr>
          <w:color w:val="000000"/>
          <w:spacing w:val="0"/>
          <w:w w:val="100"/>
          <w:position w:val="0"/>
          <w:shd w:val="clear" w:color="auto" w:fill="auto"/>
          <w:lang w:val="ru-RU" w:eastAsia="ru-RU" w:bidi="ru-RU"/>
        </w:rPr>
        <w:t>Таким образом, Комиссией Управления установлено, что заявка Заявителя не подлежала отклонению по основаниям, отраженным в протоколе подведения итогов Закупки.</w:t>
      </w:r>
    </w:p>
    <w:p>
      <w:pPr>
        <w:pStyle w:val="Style13"/>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На основании изложенного Комиссией Управления жалобы признана обоснованной, в действиях Уполномоченного органа установлено нарушение подпункта «а» пункта 1 части 5 статьи 49 Закона о контрактной системе.</w:t>
      </w:r>
    </w:p>
    <w:p>
      <w:pPr>
        <w:pStyle w:val="Style13"/>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В ходе проведения Комиссией Управления нарушений требований Закона о контрактной системе не выявлено.</w:t>
      </w:r>
    </w:p>
    <w:p>
      <w:pPr>
        <w:pStyle w:val="Style13"/>
        <w:keepNext w:val="0"/>
        <w:keepLines w:val="0"/>
        <w:widowControl w:val="0"/>
        <w:shd w:val="clear" w:color="auto" w:fill="auto"/>
        <w:bidi w:val="0"/>
        <w:spacing w:before="0" w:after="280" w:line="240" w:lineRule="auto"/>
        <w:ind w:left="0" w:right="0" w:firstLine="720"/>
        <w:jc w:val="both"/>
      </w:pPr>
      <w:r>
        <w:rPr>
          <w:color w:val="000000"/>
          <w:spacing w:val="0"/>
          <w:w w:val="100"/>
          <w:position w:val="0"/>
          <w:shd w:val="clear" w:color="auto" w:fill="auto"/>
          <w:lang w:val="ru-RU" w:eastAsia="ru-RU" w:bidi="ru-RU"/>
        </w:rPr>
        <w:t>Исходя из изложенного, информации, представленной Заявителем, заказчиком, а также информации, полученной Комиссией Управления при проведении внеплановой проверки, Комиссия, руководствуясь</w:t>
      </w:r>
      <w:r>
        <w:rPr>
          <w:color w:val="000000"/>
          <w:spacing w:val="0"/>
          <w:w w:val="100"/>
          <w:position w:val="0"/>
          <w:shd w:val="clear" w:color="auto" w:fill="auto"/>
          <w:lang w:val="ru-RU" w:eastAsia="ru-RU" w:bidi="ru-RU"/>
        </w:rPr>
        <w:t xml:space="preserve"> </w:t>
      </w:r>
      <w:r>
        <w:rPr>
          <w:color w:val="000080"/>
          <w:spacing w:val="0"/>
          <w:w w:val="100"/>
          <w:position w:val="0"/>
          <w:u w:val="single"/>
          <w:shd w:val="clear" w:color="auto" w:fill="auto"/>
          <w:lang w:val="ru-RU" w:eastAsia="ru-RU" w:bidi="ru-RU"/>
        </w:rPr>
        <w:t>статьями 99</w:t>
      </w:r>
      <w:r>
        <w:rPr>
          <w:color w:val="000000"/>
          <w:spacing w:val="0"/>
          <w:w w:val="100"/>
          <w:position w:val="0"/>
          <w:shd w:val="clear" w:color="auto" w:fill="auto"/>
          <w:lang w:val="ru-RU" w:eastAsia="ru-RU" w:bidi="ru-RU"/>
        </w:rPr>
        <w:t>,</w:t>
      </w:r>
      <w:r>
        <w:rPr>
          <w:color w:val="000000"/>
          <w:spacing w:val="0"/>
          <w:w w:val="100"/>
          <w:position w:val="0"/>
          <w:shd w:val="clear" w:color="auto" w:fill="auto"/>
          <w:lang w:val="ru-RU" w:eastAsia="ru-RU" w:bidi="ru-RU"/>
        </w:rPr>
        <w:t xml:space="preserve"> </w:t>
      </w:r>
      <w:r>
        <w:rPr>
          <w:color w:val="000080"/>
          <w:spacing w:val="0"/>
          <w:w w:val="100"/>
          <w:position w:val="0"/>
          <w:u w:val="single"/>
          <w:shd w:val="clear" w:color="auto" w:fill="auto"/>
          <w:lang w:val="ru-RU" w:eastAsia="ru-RU" w:bidi="ru-RU"/>
        </w:rPr>
        <w:t>106</w:t>
      </w:r>
      <w:r>
        <w:rPr>
          <w:color w:val="000080"/>
          <w:spacing w:val="0"/>
          <w:w w:val="100"/>
          <w:position w:val="0"/>
          <w:shd w:val="clear" w:color="auto" w:fill="auto"/>
          <w:lang w:val="ru-RU" w:eastAsia="ru-RU" w:bidi="ru-RU"/>
        </w:rPr>
        <w:t xml:space="preserve"> </w:t>
      </w:r>
      <w:r>
        <w:rPr>
          <w:color w:val="000000"/>
          <w:spacing w:val="0"/>
          <w:w w:val="100"/>
          <w:position w:val="0"/>
          <w:shd w:val="clear" w:color="auto" w:fill="auto"/>
          <w:lang w:val="ru-RU" w:eastAsia="ru-RU" w:bidi="ru-RU"/>
        </w:rPr>
        <w:t>Закона о контрактной системе,</w:t>
      </w:r>
      <w:r>
        <w:br w:type="page"/>
      </w:r>
    </w:p>
    <w:p>
      <w:pPr>
        <w:pStyle w:val="Style13"/>
        <w:keepNext w:val="0"/>
        <w:keepLines w:val="0"/>
        <w:widowControl w:val="0"/>
        <w:shd w:val="clear" w:color="auto" w:fill="auto"/>
        <w:bidi w:val="0"/>
        <w:spacing w:before="0" w:after="0" w:line="240" w:lineRule="auto"/>
        <w:ind w:left="0" w:right="0" w:firstLine="0"/>
        <w:jc w:val="center"/>
      </w:pPr>
      <w:r>
        <w:rPr>
          <w:color w:val="000000"/>
          <w:spacing w:val="0"/>
          <w:w w:val="100"/>
          <w:position w:val="0"/>
          <w:shd w:val="clear" w:color="auto" w:fill="auto"/>
          <w:lang w:val="ru-RU" w:eastAsia="ru-RU" w:bidi="ru-RU"/>
        </w:rPr>
        <w:t>РЕШИЛА:</w:t>
      </w:r>
    </w:p>
    <w:p>
      <w:pPr>
        <w:pStyle w:val="Style13"/>
        <w:keepNext w:val="0"/>
        <w:keepLines w:val="0"/>
        <w:widowControl w:val="0"/>
        <w:numPr>
          <w:ilvl w:val="0"/>
          <w:numId w:val="7"/>
        </w:numPr>
        <w:shd w:val="clear" w:color="auto" w:fill="auto"/>
        <w:tabs>
          <w:tab w:pos="107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жалобу ООО «Виталенд» обоснованной.</w:t>
      </w:r>
    </w:p>
    <w:p>
      <w:pPr>
        <w:pStyle w:val="Style13"/>
        <w:keepNext w:val="0"/>
        <w:keepLines w:val="0"/>
        <w:widowControl w:val="0"/>
        <w:numPr>
          <w:ilvl w:val="0"/>
          <w:numId w:val="7"/>
        </w:numPr>
        <w:shd w:val="clear" w:color="auto" w:fill="auto"/>
        <w:tabs>
          <w:tab w:pos="109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Признать в действиях Уполномоченного органа нарушение подпункта «а» пункта 1 части 5 статьи 49 Закона о контрактной системе.</w:t>
      </w:r>
    </w:p>
    <w:p>
      <w:pPr>
        <w:pStyle w:val="Style13"/>
        <w:keepNext w:val="0"/>
        <w:keepLines w:val="0"/>
        <w:widowControl w:val="0"/>
        <w:numPr>
          <w:ilvl w:val="0"/>
          <w:numId w:val="7"/>
        </w:numPr>
        <w:shd w:val="clear" w:color="auto" w:fill="auto"/>
        <w:tabs>
          <w:tab w:pos="1098"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Выдать обязательное для исполнения предписание.</w:t>
      </w:r>
    </w:p>
    <w:p>
      <w:pPr>
        <w:pStyle w:val="Style13"/>
        <w:keepNext w:val="0"/>
        <w:keepLines w:val="0"/>
        <w:widowControl w:val="0"/>
        <w:numPr>
          <w:ilvl w:val="0"/>
          <w:numId w:val="7"/>
        </w:numPr>
        <w:shd w:val="clear" w:color="auto" w:fill="auto"/>
        <w:tabs>
          <w:tab w:pos="1093" w:val="left"/>
        </w:tabs>
        <w:bidi w:val="0"/>
        <w:spacing w:before="0" w:after="0" w:line="240" w:lineRule="auto"/>
        <w:ind w:left="0" w:right="0" w:firstLine="720"/>
        <w:jc w:val="both"/>
      </w:pPr>
      <w:r>
        <w:rPr>
          <w:color w:val="000000"/>
          <w:spacing w:val="0"/>
          <w:w w:val="100"/>
          <w:position w:val="0"/>
          <w:shd w:val="clear" w:color="auto" w:fill="auto"/>
          <w:lang w:val="ru-RU" w:eastAsia="ru-RU" w:bidi="ru-RU"/>
        </w:rPr>
        <w:t>Передать материалы дела должностному лицу Управления для решения вопроса о привлечении виновных должностных лиц к административной ответственности.</w:t>
      </w:r>
    </w:p>
    <w:p>
      <w:pPr>
        <w:pStyle w:val="Style13"/>
        <w:keepNext w:val="0"/>
        <w:keepLines w:val="0"/>
        <w:widowControl w:val="0"/>
        <w:numPr>
          <w:ilvl w:val="0"/>
          <w:numId w:val="7"/>
        </w:numPr>
        <w:shd w:val="clear" w:color="auto" w:fill="auto"/>
        <w:tabs>
          <w:tab w:pos="1093" w:val="left"/>
        </w:tabs>
        <w:bidi w:val="0"/>
        <w:spacing w:before="0" w:after="280" w:line="240" w:lineRule="auto"/>
        <w:ind w:left="0" w:right="0" w:firstLine="720"/>
        <w:jc w:val="both"/>
      </w:pPr>
      <w:r>
        <w:rPr>
          <w:color w:val="000000"/>
          <w:spacing w:val="0"/>
          <w:w w:val="100"/>
          <w:position w:val="0"/>
          <w:shd w:val="clear" w:color="auto" w:fill="auto"/>
          <w:lang w:val="ru-RU" w:eastAsia="ru-RU" w:bidi="ru-RU"/>
        </w:rPr>
        <w:t>В соответствии со статьи 106 Закона о контрактной системе направить настоящее решение сторонам.</w:t>
      </w:r>
    </w:p>
    <w:p>
      <w:pPr>
        <w:pStyle w:val="Style13"/>
        <w:keepNext w:val="0"/>
        <w:keepLines w:val="0"/>
        <w:widowControl w:val="0"/>
        <w:shd w:val="clear" w:color="auto" w:fill="auto"/>
        <w:bidi w:val="0"/>
        <w:spacing w:before="0" w:after="600" w:line="240" w:lineRule="auto"/>
        <w:ind w:left="0" w:right="0" w:firstLine="720"/>
        <w:jc w:val="both"/>
      </w:pPr>
      <w:r>
        <mc:AlternateContent>
          <mc:Choice Requires="wps">
            <w:drawing>
              <wp:anchor distT="0" distB="612775" distL="114300" distR="193675" simplePos="0" relativeHeight="125829378" behindDoc="0" locked="0" layoutInCell="1" allowOverlap="1">
                <wp:simplePos x="0" y="0"/>
                <wp:positionH relativeFrom="page">
                  <wp:posOffset>5655310</wp:posOffset>
                </wp:positionH>
                <wp:positionV relativeFrom="paragraph">
                  <wp:posOffset>12700</wp:posOffset>
                </wp:positionV>
                <wp:extent cx="926465" cy="252730"/>
                <wp:wrapSquare wrapText="left"/>
                <wp:docPr id="13" name="Shape 13"/>
                <a:graphic xmlns:a="http://schemas.openxmlformats.org/drawingml/2006/main">
                  <a:graphicData uri="http://schemas.microsoft.com/office/word/2010/wordprocessingShape">
                    <wps:wsp>
                      <wps:cNvSpPr txBox="1"/>
                      <wps:spPr>
                        <a:xfrm>
                          <a:ext cx="926465" cy="25273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Аушев</w:t>
                            </w:r>
                          </w:p>
                        </w:txbxContent>
                      </wps:txbx>
                      <wps:bodyPr wrap="none" lIns="0" tIns="0" rIns="0" bIns="0">
                        <a:noAutoFit/>
                      </wps:bodyPr>
                    </wps:wsp>
                  </a:graphicData>
                </a:graphic>
              </wp:anchor>
            </w:drawing>
          </mc:Choice>
          <mc:Fallback>
            <w:pict>
              <v:shape id="_x0000_s1039" type="#_x0000_t202" style="position:absolute;margin-left:445.30000000000001pt;margin-top:1.pt;width:72.950000000000003pt;height:19.900000000000002pt;z-index:-125829375;mso-wrap-distance-left:9.pt;mso-wrap-distance-right:15.25pt;mso-wrap-distance-bottom:48.25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right"/>
                      </w:pPr>
                      <w:r>
                        <w:rPr>
                          <w:color w:val="000000"/>
                          <w:spacing w:val="0"/>
                          <w:w w:val="100"/>
                          <w:position w:val="0"/>
                          <w:shd w:val="clear" w:color="auto" w:fill="auto"/>
                          <w:lang w:val="ru-RU" w:eastAsia="ru-RU" w:bidi="ru-RU"/>
                        </w:rPr>
                        <w:t>А.А. Аушев</w:t>
                      </w:r>
                    </w:p>
                  </w:txbxContent>
                </v:textbox>
                <w10:wrap type="square" side="left" anchorx="page"/>
              </v:shape>
            </w:pict>
          </mc:Fallback>
        </mc:AlternateContent>
      </w:r>
      <w:r>
        <mc:AlternateContent>
          <mc:Choice Requires="wps">
            <w:drawing>
              <wp:anchor distT="615950" distB="0" distL="114300" distR="114300" simplePos="0" relativeHeight="125829380" behindDoc="0" locked="0" layoutInCell="1" allowOverlap="1">
                <wp:simplePos x="0" y="0"/>
                <wp:positionH relativeFrom="page">
                  <wp:posOffset>5655310</wp:posOffset>
                </wp:positionH>
                <wp:positionV relativeFrom="paragraph">
                  <wp:posOffset>628650</wp:posOffset>
                </wp:positionV>
                <wp:extent cx="1005840" cy="250190"/>
                <wp:wrapSquare wrapText="left"/>
                <wp:docPr id="15" name="Shape 15"/>
                <a:graphic xmlns:a="http://schemas.openxmlformats.org/drawingml/2006/main">
                  <a:graphicData uri="http://schemas.microsoft.com/office/word/2010/wordprocessingShape">
                    <wps:wsp>
                      <wps:cNvSpPr txBox="1"/>
                      <wps:spPr>
                        <a:xfrm>
                          <a:ext cx="1005840" cy="250190"/>
                        </a:xfrm>
                        <a:prstGeom prst="rect"/>
                        <a:noFill/>
                      </wps:spPr>
                      <wps:txbx>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М.М. Точиев</w:t>
                            </w:r>
                          </w:p>
                        </w:txbxContent>
                      </wps:txbx>
                      <wps:bodyPr wrap="none" lIns="0" tIns="0" rIns="0" bIns="0">
                        <a:noAutoFit/>
                      </wps:bodyPr>
                    </wps:wsp>
                  </a:graphicData>
                </a:graphic>
              </wp:anchor>
            </w:drawing>
          </mc:Choice>
          <mc:Fallback>
            <w:pict>
              <v:shape id="_x0000_s1041" type="#_x0000_t202" style="position:absolute;margin-left:445.30000000000001pt;margin-top:49.5pt;width:79.200000000000003pt;height:19.699999999999999pt;z-index:-125829373;mso-wrap-distance-left:9.pt;mso-wrap-distance-top:48.5pt;mso-wrap-distance-right:9.pt;mso-position-horizontal-relative:page" filled="f" stroked="f">
                <v:textbox inset="0,0,0,0">
                  <w:txbxContent>
                    <w:p>
                      <w:pPr>
                        <w:pStyle w:val="Style13"/>
                        <w:keepNext w:val="0"/>
                        <w:keepLines w:val="0"/>
                        <w:widowControl w:val="0"/>
                        <w:shd w:val="clear" w:color="auto" w:fill="auto"/>
                        <w:bidi w:val="0"/>
                        <w:spacing w:before="0" w:after="0" w:line="240" w:lineRule="auto"/>
                        <w:ind w:left="0" w:right="0" w:firstLine="0"/>
                        <w:jc w:val="left"/>
                      </w:pPr>
                      <w:r>
                        <w:rPr>
                          <w:color w:val="000000"/>
                          <w:spacing w:val="0"/>
                          <w:w w:val="100"/>
                          <w:position w:val="0"/>
                          <w:shd w:val="clear" w:color="auto" w:fill="auto"/>
                          <w:lang w:val="ru-RU" w:eastAsia="ru-RU" w:bidi="ru-RU"/>
                        </w:rPr>
                        <w:t>М.М. Точиев</w:t>
                      </w:r>
                    </w:p>
                  </w:txbxContent>
                </v:textbox>
                <w10:wrap type="square" side="left" anchorx="page"/>
              </v:shape>
            </w:pict>
          </mc:Fallback>
        </mc:AlternateContent>
      </w:r>
      <w:r>
        <w:rPr>
          <w:color w:val="000000"/>
          <w:spacing w:val="0"/>
          <w:w w:val="100"/>
          <w:position w:val="0"/>
          <w:shd w:val="clear" w:color="auto" w:fill="auto"/>
          <w:lang w:val="ru-RU" w:eastAsia="ru-RU" w:bidi="ru-RU"/>
        </w:rPr>
        <w:t>Председатель Комиссии:</w:t>
      </w:r>
    </w:p>
    <w:p>
      <w:pPr>
        <w:pStyle w:val="Style13"/>
        <w:keepNext w:val="0"/>
        <w:keepLines w:val="0"/>
        <w:widowControl w:val="0"/>
        <w:shd w:val="clear" w:color="auto" w:fill="auto"/>
        <w:bidi w:val="0"/>
        <w:spacing w:before="0" w:after="600" w:line="240" w:lineRule="auto"/>
        <w:ind w:left="0" w:right="0" w:firstLine="720"/>
        <w:jc w:val="both"/>
      </w:pPr>
      <w:r>
        <w:rPr>
          <w:color w:val="000000"/>
          <w:spacing w:val="0"/>
          <w:w w:val="100"/>
          <w:position w:val="0"/>
          <w:shd w:val="clear" w:color="auto" w:fill="auto"/>
          <w:lang w:val="ru-RU" w:eastAsia="ru-RU" w:bidi="ru-RU"/>
        </w:rPr>
        <w:t>Члены комиссии:</w:t>
      </w:r>
    </w:p>
    <w:p>
      <w:pPr>
        <w:pStyle w:val="Style13"/>
        <w:keepNext w:val="0"/>
        <w:keepLines w:val="0"/>
        <w:widowControl w:val="0"/>
        <w:shd w:val="clear" w:color="auto" w:fill="auto"/>
        <w:bidi w:val="0"/>
        <w:spacing w:before="0" w:after="7040" w:line="240" w:lineRule="auto"/>
        <w:ind w:left="0" w:right="560" w:firstLine="0"/>
        <w:jc w:val="right"/>
      </w:pPr>
      <w:r>
        <w:rPr>
          <w:color w:val="000000"/>
          <w:spacing w:val="0"/>
          <w:w w:val="100"/>
          <w:position w:val="0"/>
          <w:shd w:val="clear" w:color="auto" w:fill="auto"/>
          <w:lang w:val="ru-RU" w:eastAsia="ru-RU" w:bidi="ru-RU"/>
        </w:rPr>
        <w:t>К.Х.Бекбузаров</w:t>
      </w:r>
    </w:p>
    <w:p>
      <w:pPr>
        <w:pStyle w:val="Style21"/>
        <w:keepNext w:val="0"/>
        <w:keepLines w:val="0"/>
        <w:widowControl w:val="0"/>
        <w:shd w:val="clear" w:color="auto" w:fill="auto"/>
        <w:bidi w:val="0"/>
        <w:spacing w:before="0" w:line="240" w:lineRule="auto"/>
        <w:ind w:left="0" w:right="0"/>
        <w:jc w:val="both"/>
      </w:pPr>
      <w:r>
        <w:rPr>
          <w:color w:val="000000"/>
          <w:spacing w:val="0"/>
          <w:w w:val="100"/>
          <w:position w:val="0"/>
          <w:shd w:val="clear" w:color="auto" w:fill="auto"/>
          <w:lang w:val="ru-RU" w:eastAsia="ru-RU" w:bidi="ru-RU"/>
        </w:rPr>
        <w:t>Настоящее решение (предписание) может быть обжаловано в судебном порядке в течение трех месяцев со дня его принятия в соответствии с требованиями Арбитражного процессуального кодекса Российской Федерации.</w:t>
      </w:r>
    </w:p>
    <w:sectPr>
      <w:headerReference w:type="default" r:id="rId16"/>
      <w:footerReference w:type="default" r:id="rId17"/>
      <w:footnotePr>
        <w:pos w:val="pageBottom"/>
        <w:numFmt w:val="decimal"/>
        <w:numRestart w:val="continuous"/>
      </w:footnotePr>
      <w:pgSz w:w="11900" w:h="16840"/>
      <w:pgMar w:top="1710" w:right="541" w:bottom="1211" w:left="1106" w:header="0" w:footer="3" w:gutter="0"/>
      <w:cols w:space="720"/>
      <w:noEndnote/>
      <w:rtlGutter w:val="0"/>
      <w:docGrid w:linePitch="360"/>
    </w:sectPr>
  </w:body>
</w:document>
</file>

<file path=word/footer1.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0" behindDoc="1" locked="0" layoutInCell="1" allowOverlap="1">
              <wp:simplePos x="0" y="0"/>
              <wp:positionH relativeFrom="page">
                <wp:posOffset>723900</wp:posOffset>
              </wp:positionH>
              <wp:positionV relativeFrom="page">
                <wp:posOffset>9857740</wp:posOffset>
              </wp:positionV>
              <wp:extent cx="648970" cy="100330"/>
              <wp:wrapNone/>
              <wp:docPr id="3" name="Shape 3"/>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2023-3854</w:t>
                          </w:r>
                        </w:p>
                      </w:txbxContent>
                    </wps:txbx>
                    <wps:bodyPr wrap="none" lIns="0" tIns="0" rIns="0" bIns="0">
                      <a:spAutoFit/>
                    </wps:bodyPr>
                  </wps:wsp>
                </a:graphicData>
              </a:graphic>
            </wp:anchor>
          </w:drawing>
        </mc:Choice>
        <mc:Fallback>
          <w:pict>
            <v:shapetype id="_x0000_t202" coordsize="21600,21600" o:spt="202" path="m,l,21600r21600,l21600,xe">
              <v:stroke joinstyle="miter"/>
              <v:path gradientshapeok="t" o:connecttype="rect"/>
            </v:shapetype>
            <v:shape id="_x0000_s1029" type="#_x0000_t202" style="position:absolute;margin-left:57.pt;margin-top:776.20000000000005pt;width:51.100000000000001pt;height:7.9000000000000004pt;z-index:-18874406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2023-3854</w:t>
                    </w:r>
                  </w:p>
                </w:txbxContent>
              </v:textbox>
              <w10:wrap anchorx="page" anchory="page"/>
            </v:shape>
          </w:pict>
        </mc:Fallback>
      </mc:AlternateContent>
    </w:r>
  </w:p>
</w:ftr>
</file>

<file path=word/footer2.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3.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6" behindDoc="1" locked="0" layoutInCell="1" allowOverlap="1">
              <wp:simplePos x="0" y="0"/>
              <wp:positionH relativeFrom="page">
                <wp:posOffset>723900</wp:posOffset>
              </wp:positionH>
              <wp:positionV relativeFrom="page">
                <wp:posOffset>10016490</wp:posOffset>
              </wp:positionV>
              <wp:extent cx="648970" cy="100330"/>
              <wp:wrapNone/>
              <wp:docPr id="9" name="Shape 9"/>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2023-3854</w:t>
                          </w:r>
                        </w:p>
                      </w:txbxContent>
                    </wps:txbx>
                    <wps:bodyPr wrap="none" lIns="0" tIns="0" rIns="0" bIns="0">
                      <a:spAutoFit/>
                    </wps:bodyPr>
                  </wps:wsp>
                </a:graphicData>
              </a:graphic>
            </wp:anchor>
          </w:drawing>
        </mc:Choice>
        <mc:Fallback>
          <w:pict>
            <v:shape id="_x0000_s1035" type="#_x0000_t202" style="position:absolute;margin-left:57.pt;margin-top:788.70000000000005pt;width:51.100000000000001pt;height:7.9000000000000004pt;z-index:-188744057;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2023-3854</w:t>
                    </w:r>
                  </w:p>
                </w:txbxContent>
              </v:textbox>
              <w10:wrap anchorx="page" anchory="page"/>
            </v:shape>
          </w:pict>
        </mc:Fallback>
      </mc:AlternateContent>
    </w:r>
  </w:p>
</w:ftr>
</file>

<file path=word/footer4.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pPr>
  </w:p>
</w:ftr>
</file>

<file path=word/footer5.xml><?xml version="1.0" encoding="utf-8"?>
<w:ft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2" behindDoc="1" locked="0" layoutInCell="1" allowOverlap="1">
              <wp:simplePos x="0" y="0"/>
              <wp:positionH relativeFrom="page">
                <wp:posOffset>723900</wp:posOffset>
              </wp:positionH>
              <wp:positionV relativeFrom="page">
                <wp:posOffset>10016490</wp:posOffset>
              </wp:positionV>
              <wp:extent cx="648970" cy="100330"/>
              <wp:wrapNone/>
              <wp:docPr id="19" name="Shape 19"/>
              <a:graphic xmlns:a="http://schemas.openxmlformats.org/drawingml/2006/main">
                <a:graphicData uri="http://schemas.microsoft.com/office/word/2010/wordprocessingShape">
                  <wps:wsp>
                    <wps:cNvSpPr txBox="1"/>
                    <wps:spPr>
                      <a:xfrm>
                        <a:ext cx="648970" cy="10033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2023-3854</w:t>
                          </w:r>
                        </w:p>
                      </w:txbxContent>
                    </wps:txbx>
                    <wps:bodyPr wrap="none" lIns="0" tIns="0" rIns="0" bIns="0">
                      <a:spAutoFit/>
                    </wps:bodyPr>
                  </wps:wsp>
                </a:graphicData>
              </a:graphic>
            </wp:anchor>
          </w:drawing>
        </mc:Choice>
        <mc:Fallback>
          <w:pict>
            <v:shape id="_x0000_s1045" type="#_x0000_t202" style="position:absolute;margin-left:57.pt;margin-top:788.70000000000005pt;width:51.100000000000001pt;height:7.9000000000000004pt;z-index:-18874405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4"/>
                        <w:szCs w:val="24"/>
                      </w:rPr>
                    </w:pPr>
                    <w:r>
                      <w:rPr>
                        <w:color w:val="000000"/>
                        <w:spacing w:val="0"/>
                        <w:w w:val="100"/>
                        <w:position w:val="0"/>
                        <w:sz w:val="24"/>
                        <w:szCs w:val="24"/>
                        <w:shd w:val="clear" w:color="auto" w:fill="auto"/>
                        <w:lang w:val="ru-RU" w:eastAsia="ru-RU" w:bidi="ru-RU"/>
                      </w:rPr>
                      <w:t>2023-3854</w:t>
                    </w:r>
                  </w:p>
                </w:txbxContent>
              </v:textbox>
              <w10:wrap anchorx="page" anchory="page"/>
            </v:shape>
          </w:pict>
        </mc:Fallback>
      </mc:AlternateContent>
    </w:r>
  </w:p>
</w:ftr>
</file>

<file path=word/footnotes.xml><?xml version="1.0" encoding="utf-8"?>
<w:footnot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footnote w:id="0" w:type="separator">
    <w:p>
      <w:r/>
    </w:p>
  </w:footnote>
  <w:footnote w:id="1" w:type="continuationSeparator">
    <w:p>
      <w:r/>
    </w:p>
  </w:footnote>
</w:footnotes>
</file>

<file path=word/header1.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2" behindDoc="1" locked="0" layoutInCell="1" allowOverlap="1">
              <wp:simplePos x="0" y="0"/>
              <wp:positionH relativeFrom="page">
                <wp:posOffset>3921125</wp:posOffset>
              </wp:positionH>
              <wp:positionV relativeFrom="page">
                <wp:posOffset>765810</wp:posOffset>
              </wp:positionV>
              <wp:extent cx="76200" cy="121920"/>
              <wp:wrapNone/>
              <wp:docPr id="5" name="Shape 5"/>
              <a:graphic xmlns:a="http://schemas.openxmlformats.org/drawingml/2006/main">
                <a:graphicData uri="http://schemas.microsoft.com/office/word/2010/wordprocessingShape">
                  <wps:wsp>
                    <wps:cNvSpPr txBox="1"/>
                    <wps:spPr>
                      <a:xfrm>
                        <a:ext cx="76200"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1" type="#_x0000_t202" style="position:absolute;margin-left:308.75pt;margin-top:60.300000000000004pt;width:6.pt;height:9.5999999999999996pt;z-index:-188744061;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v:textbox>
              <w10:wrap anchorx="page" anchory="page"/>
            </v:shape>
          </w:pict>
        </mc:Fallback>
      </mc:AlternateContent>
    </w:r>
  </w:p>
</w:hdr>
</file>

<file path=word/header2.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4" behindDoc="1" locked="0" layoutInCell="1" allowOverlap="1">
              <wp:simplePos x="0" y="0"/>
              <wp:positionH relativeFrom="page">
                <wp:posOffset>3927475</wp:posOffset>
              </wp:positionH>
              <wp:positionV relativeFrom="page">
                <wp:posOffset>765810</wp:posOffset>
              </wp:positionV>
              <wp:extent cx="67310" cy="125095"/>
              <wp:wrapNone/>
              <wp:docPr id="7" name="Shape 7"/>
              <a:graphic xmlns:a="http://schemas.openxmlformats.org/drawingml/2006/main">
                <a:graphicData uri="http://schemas.microsoft.com/office/word/2010/wordprocessingShape">
                  <wps:wsp>
                    <wps:cNvSpPr txBox="1"/>
                    <wps:spPr>
                      <a:xfrm>
                        <a:ext cx="67310"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3" type="#_x0000_t202" style="position:absolute;margin-left:309.25pt;margin-top:60.300000000000004pt;width:5.2999999999999998pt;height:9.8499999999999996pt;z-index:-188744059;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v:textbox>
              <w10:wrap anchorx="page" anchory="page"/>
            </v:shape>
          </w:pict>
        </mc:Fallback>
      </mc:AlternateContent>
    </w:r>
  </w:p>
</w:hdr>
</file>

<file path=word/header3.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698" behindDoc="1" locked="0" layoutInCell="1" allowOverlap="1">
              <wp:simplePos x="0" y="0"/>
              <wp:positionH relativeFrom="page">
                <wp:posOffset>3921125</wp:posOffset>
              </wp:positionH>
              <wp:positionV relativeFrom="page">
                <wp:posOffset>765810</wp:posOffset>
              </wp:positionV>
              <wp:extent cx="76200" cy="121920"/>
              <wp:wrapNone/>
              <wp:docPr id="11" name="Shape 11"/>
              <a:graphic xmlns:a="http://schemas.openxmlformats.org/drawingml/2006/main">
                <a:graphicData uri="http://schemas.microsoft.com/office/word/2010/wordprocessingShape">
                  <wps:wsp>
                    <wps:cNvSpPr txBox="1"/>
                    <wps:spPr>
                      <a:xfrm>
                        <a:ext cx="76200" cy="121920"/>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37" type="#_x0000_t202" style="position:absolute;margin-left:308.75pt;margin-top:60.300000000000004pt;width:6.pt;height:9.5999999999999996pt;z-index:-188744055;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v:textbox>
              <w10:wrap anchorx="page" anchory="page"/>
            </v:shape>
          </w:pict>
        </mc:Fallback>
      </mc:AlternateContent>
    </w:r>
  </w:p>
</w:hdr>
</file>

<file path=word/header4.xml><?xml version="1.0" encoding="utf-8"?>
<w:hdr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p>
    <w:pPr>
      <w:widowControl w:val="0"/>
      <w:spacing w:line="1" w:lineRule="exact"/>
    </w:pPr>
    <w:r>
      <mc:AlternateContent>
        <mc:Choice Requires="wps">
          <w:drawing>
            <wp:anchor distT="0" distB="0" distL="0" distR="0" simplePos="0" relativeHeight="62914700" behindDoc="1" locked="0" layoutInCell="1" allowOverlap="1">
              <wp:simplePos x="0" y="0"/>
              <wp:positionH relativeFrom="page">
                <wp:posOffset>3927475</wp:posOffset>
              </wp:positionH>
              <wp:positionV relativeFrom="page">
                <wp:posOffset>765810</wp:posOffset>
              </wp:positionV>
              <wp:extent cx="67310" cy="125095"/>
              <wp:wrapNone/>
              <wp:docPr id="17" name="Shape 17"/>
              <a:graphic xmlns:a="http://schemas.openxmlformats.org/drawingml/2006/main">
                <a:graphicData uri="http://schemas.microsoft.com/office/word/2010/wordprocessingShape">
                  <wps:wsp>
                    <wps:cNvSpPr txBox="1"/>
                    <wps:spPr>
                      <a:xfrm>
                        <a:ext cx="67310" cy="125095"/>
                      </a:xfrm>
                      <a:prstGeom prst="rect"/>
                      <a:noFill/>
                    </wps:spPr>
                    <wps:txbx>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wps:txbx>
                    <wps:bodyPr wrap="none" lIns="0" tIns="0" rIns="0" bIns="0">
                      <a:spAutoFit/>
                    </wps:bodyPr>
                  </wps:wsp>
                </a:graphicData>
              </a:graphic>
            </wp:anchor>
          </w:drawing>
        </mc:Choice>
        <mc:Fallback>
          <w:pict>
            <v:shape id="_x0000_s1043" type="#_x0000_t202" style="position:absolute;margin-left:309.25pt;margin-top:60.300000000000004pt;width:5.2999999999999998pt;height:9.8499999999999996pt;z-index:-188744053;mso-wrap-style:none;mso-wrap-distance-left:0;mso-wrap-distance-right:0;mso-position-horizontal-relative:page;mso-position-vertical-relative:page" wrapcoords="0 0" filled="f" stroked="f">
              <v:textbox style="mso-fit-shape-to-text:t" inset="0,0,0,0">
                <w:txbxContent>
                  <w:p>
                    <w:pPr>
                      <w:pStyle w:val="Style2"/>
                      <w:keepNext w:val="0"/>
                      <w:keepLines w:val="0"/>
                      <w:widowControl w:val="0"/>
                      <w:shd w:val="clear" w:color="auto" w:fill="auto"/>
                      <w:bidi w:val="0"/>
                      <w:spacing w:before="0" w:after="0" w:line="240" w:lineRule="auto"/>
                      <w:ind w:left="0" w:right="0" w:firstLine="0"/>
                      <w:jc w:val="left"/>
                      <w:rPr>
                        <w:sz w:val="28"/>
                        <w:szCs w:val="28"/>
                      </w:rPr>
                    </w:pPr>
                    <w:fldSimple w:instr=" PAGE \* MERGEFORMAT ">
                      <w:r>
                        <w:rPr>
                          <w:color w:val="000000"/>
                          <w:spacing w:val="0"/>
                          <w:w w:val="100"/>
                          <w:position w:val="0"/>
                          <w:sz w:val="28"/>
                          <w:szCs w:val="28"/>
                          <w:shd w:val="clear" w:color="auto" w:fill="auto"/>
                          <w:lang w:val="ru-RU" w:eastAsia="ru-RU" w:bidi="ru-RU"/>
                        </w:rPr>
                        <w:t>#</w:t>
                      </w:r>
                    </w:fldSimple>
                  </w:p>
                </w:txbxContent>
              </v:textbox>
              <w10:wrap anchorx="page" anchory="page"/>
            </v:shape>
          </w:pict>
        </mc:Fallback>
      </mc:AlternateContent>
    </w:r>
  </w:p>
</w:hdr>
</file>

<file path=word/numbering.xml><?xml version="1.0" encoding="utf-8"?>
<w:numbering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abstractNum w:abstractNumId="0">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2">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4">
    <w:multiLevelType w:val="multilevel"/>
    <w:lvl w:ilvl="0">
      <w:start w:val="1"/>
      <w:numFmt w:val="russianLower"/>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abstractNum w:abstractNumId="6">
    <w:multiLevelType w:val="multilevel"/>
    <w:lvl w:ilvl="0">
      <w:start w:val="1"/>
      <w:numFmt w:val="decimal"/>
      <w:lvlText w:val="%1."/>
      <w:rPr>
        <w:rFonts w:ascii="Times New Roman" w:eastAsia="Times New Roman" w:hAnsi="Times New Roman" w:cs="Times New Roman"/>
        <w:b w:val="0"/>
        <w:bCs w:val="0"/>
        <w:i w:val="0"/>
        <w:iCs w:val="0"/>
        <w:smallCaps w:val="0"/>
        <w:strike w:val="0"/>
        <w:color w:val="000000"/>
        <w:spacing w:val="0"/>
        <w:w w:val="100"/>
        <w:position w:val="0"/>
        <w:sz w:val="28"/>
        <w:szCs w:val="28"/>
        <w:u w:val="none"/>
        <w:shd w:val="clear" w:color="auto" w:fill="auto"/>
        <w:lang w:val="ru-RU" w:eastAsia="ru-RU" w:bidi="ru-RU"/>
      </w:rPr>
    </w:lvl>
  </w:abstractNum>
  <w:num w:numId="1">
    <w:abstractNumId w:val="0"/>
  </w:num>
  <w:num w:numId="3">
    <w:abstractNumId w:val="2"/>
  </w:num>
  <w:num w:numId="5">
    <w:abstractNumId w:val="4"/>
  </w:num>
  <w:num w:numId="7">
    <w:abstractNumId w:val="6"/>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zoom w:val="fullPage"/>
  <w:drawingGridHorizontalSpacing w:val="181"/>
  <w:drawingGridVerticalSpacing w:val="181"/>
  <w:displayHorizontalDrawingGridEvery w:val="1"/>
  <w:displayVerticalDrawingGridEvery w:val="1"/>
  <w:characterSpacingControl w:val="compressPunctuation"/>
  <w:footnotePr>
    <w:pos w:val="pageBottom"/>
    <w:numFmt w:val="decimal"/>
    <w:numRestart w:val="continuous"/>
    <w:footnote w:id="0"/>
    <w:footnote w:id="1"/>
  </w:footnotePr>
  <w:compat>
    <w:doNotExpandShiftReturn/>
    <w:compatSetting w:name="compatibilityMode" w:uri="http://schemas.microsoft.com/office/word" w:val="15"/>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mc="http://schemas.openxmlformats.org/markup-compatibility/2006" xmlns:wps="http://schemas.microsoft.com/office/word/2010/wordprocessingShape" xmlns:wpg="http://schemas.microsoft.com/office/word/2010/wordprocessingGroup"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keepNext w:val="0"/>
        <w:keepLines w:val="0"/>
        <w:widowControl w:val="0"/>
        <w:shd w:val="clear" w:color="auto" w:fill="auto"/>
        <w:bidi w:val="0"/>
        <w:spacing w:before="0" w:after="0" w:line="240" w:lineRule="auto"/>
        <w:ind w:left="0" w:right="0" w:firstLine="0"/>
        <w:jc w:val="left"/>
      </w:pPr>
    </w:pPrDefault>
  </w:docDefaults>
  <w:style w:type="paragraph" w:default="1" w:styleId="Normal">
    <w:name w:val="Normal"/>
    <w:pPr>
      <w:keepNext w:val="0"/>
      <w:keepLines w:val="0"/>
      <w:widowControl w:val="0"/>
      <w:shd w:val="clear" w:color="auto" w:fill="auto"/>
      <w:bidi w:val="0"/>
      <w:spacing w:before="0" w:after="0" w:line="240" w:lineRule="auto"/>
      <w:ind w:left="0" w:right="0" w:firstLine="0"/>
      <w:jc w:val="left"/>
    </w:pPr>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default="1" w:styleId="DefaultParagraphFont">
    <w:name w:val="Default Paragraph Font"/>
    <w:rPr>
      <w:rFonts w:ascii="Courier New" w:eastAsia="Courier New" w:hAnsi="Courier New" w:cs="Courier New"/>
      <w:color w:val="000000"/>
      <w:spacing w:val="0"/>
      <w:w w:val="100"/>
      <w:position w:val="0"/>
      <w:sz w:val="24"/>
      <w:szCs w:val="24"/>
      <w:shd w:val="clear" w:color="auto" w:fill="auto"/>
      <w:lang w:val="ru-RU" w:eastAsia="ru-RU" w:bidi="ru-RU"/>
    </w:rPr>
  </w:style>
  <w:style w:type="character" w:customStyle="1" w:styleId="CharStyle3">
    <w:name w:val="Колонтитул (2)_"/>
    <w:basedOn w:val="DefaultParagraphFont"/>
    <w:link w:val="Style2"/>
    <w:rPr>
      <w:rFonts w:ascii="Times New Roman" w:eastAsia="Times New Roman" w:hAnsi="Times New Roman" w:cs="Times New Roman"/>
      <w:b w:val="0"/>
      <w:bCs w:val="0"/>
      <w:i w:val="0"/>
      <w:iCs w:val="0"/>
      <w:smallCaps w:val="0"/>
      <w:strike w:val="0"/>
      <w:sz w:val="20"/>
      <w:szCs w:val="20"/>
      <w:u w:val="none"/>
    </w:rPr>
  </w:style>
  <w:style w:type="character" w:customStyle="1" w:styleId="CharStyle6">
    <w:name w:val="Основной текст (3)_"/>
    <w:basedOn w:val="DefaultParagraphFont"/>
    <w:link w:val="Style5"/>
    <w:rPr>
      <w:rFonts w:ascii="Times New Roman" w:eastAsia="Times New Roman" w:hAnsi="Times New Roman" w:cs="Times New Roman"/>
      <w:b w:val="0"/>
      <w:bCs w:val="0"/>
      <w:i w:val="0"/>
      <w:iCs w:val="0"/>
      <w:smallCaps w:val="0"/>
      <w:strike w:val="0"/>
      <w:color w:val="4360A3"/>
      <w:sz w:val="16"/>
      <w:szCs w:val="16"/>
      <w:u w:val="none"/>
    </w:rPr>
  </w:style>
  <w:style w:type="character" w:customStyle="1" w:styleId="CharStyle9">
    <w:name w:val="Основной текст (4)_"/>
    <w:basedOn w:val="DefaultParagraphFont"/>
    <w:link w:val="Style8"/>
    <w:rPr>
      <w:rFonts w:ascii="Times New Roman" w:eastAsia="Times New Roman" w:hAnsi="Times New Roman" w:cs="Times New Roman"/>
      <w:b/>
      <w:bCs/>
      <w:i w:val="0"/>
      <w:iCs w:val="0"/>
      <w:smallCaps w:val="0"/>
      <w:strike w:val="0"/>
      <w:color w:val="4360A3"/>
      <w:sz w:val="19"/>
      <w:szCs w:val="19"/>
      <w:u w:val="none"/>
    </w:rPr>
  </w:style>
  <w:style w:type="character" w:customStyle="1" w:styleId="CharStyle12">
    <w:name w:val="Подпись к картинке_"/>
    <w:basedOn w:val="DefaultParagraphFont"/>
    <w:link w:val="Style11"/>
    <w:rPr>
      <w:rFonts w:ascii="Times New Roman" w:eastAsia="Times New Roman" w:hAnsi="Times New Roman" w:cs="Times New Roman"/>
      <w:b w:val="0"/>
      <w:bCs w:val="0"/>
      <w:i w:val="0"/>
      <w:iCs w:val="0"/>
      <w:smallCaps w:val="0"/>
      <w:strike w:val="0"/>
      <w:color w:val="4360A3"/>
      <w:sz w:val="18"/>
      <w:szCs w:val="18"/>
      <w:u w:val="none"/>
    </w:rPr>
  </w:style>
  <w:style w:type="character" w:customStyle="1" w:styleId="CharStyle14">
    <w:name w:val="Основной текст_"/>
    <w:basedOn w:val="DefaultParagraphFont"/>
    <w:link w:val="Style13"/>
    <w:rPr>
      <w:rFonts w:ascii="Times New Roman" w:eastAsia="Times New Roman" w:hAnsi="Times New Roman" w:cs="Times New Roman"/>
      <w:b w:val="0"/>
      <w:bCs w:val="0"/>
      <w:i w:val="0"/>
      <w:iCs w:val="0"/>
      <w:smallCaps w:val="0"/>
      <w:strike w:val="0"/>
      <w:sz w:val="28"/>
      <w:szCs w:val="28"/>
      <w:u w:val="none"/>
    </w:rPr>
  </w:style>
  <w:style w:type="character" w:customStyle="1" w:styleId="CharStyle16">
    <w:name w:val="Заголовок №1_"/>
    <w:basedOn w:val="DefaultParagraphFont"/>
    <w:link w:val="Style15"/>
    <w:rPr>
      <w:rFonts w:ascii="Arial" w:eastAsia="Arial" w:hAnsi="Arial" w:cs="Arial"/>
      <w:b w:val="0"/>
      <w:bCs w:val="0"/>
      <w:i w:val="0"/>
      <w:iCs w:val="0"/>
      <w:smallCaps w:val="0"/>
      <w:strike w:val="0"/>
      <w:sz w:val="48"/>
      <w:szCs w:val="48"/>
      <w:u w:val="none"/>
    </w:rPr>
  </w:style>
  <w:style w:type="character" w:customStyle="1" w:styleId="CharStyle22">
    <w:name w:val="Основной текст (2)_"/>
    <w:basedOn w:val="DefaultParagraphFont"/>
    <w:link w:val="Style21"/>
    <w:rPr>
      <w:rFonts w:ascii="Times New Roman" w:eastAsia="Times New Roman" w:hAnsi="Times New Roman" w:cs="Times New Roman"/>
      <w:b w:val="0"/>
      <w:bCs w:val="0"/>
      <w:i w:val="0"/>
      <w:iCs w:val="0"/>
      <w:smallCaps w:val="0"/>
      <w:strike w:val="0"/>
      <w:sz w:val="22"/>
      <w:szCs w:val="22"/>
      <w:u w:val="none"/>
    </w:rPr>
  </w:style>
  <w:style w:type="paragraph" w:customStyle="1" w:styleId="Style2">
    <w:name w:val="Колонтитул (2)"/>
    <w:basedOn w:val="Normal"/>
    <w:link w:val="CharStyle3"/>
    <w:pPr>
      <w:widowControl w:val="0"/>
      <w:shd w:val="clear" w:color="auto" w:fill="auto"/>
    </w:pPr>
    <w:rPr>
      <w:rFonts w:ascii="Times New Roman" w:eastAsia="Times New Roman" w:hAnsi="Times New Roman" w:cs="Times New Roman"/>
      <w:b w:val="0"/>
      <w:bCs w:val="0"/>
      <w:i w:val="0"/>
      <w:iCs w:val="0"/>
      <w:smallCaps w:val="0"/>
      <w:strike w:val="0"/>
      <w:sz w:val="20"/>
      <w:szCs w:val="20"/>
      <w:u w:val="none"/>
    </w:rPr>
  </w:style>
  <w:style w:type="paragraph" w:customStyle="1" w:styleId="Style5">
    <w:name w:val="Основной текст (3)"/>
    <w:basedOn w:val="Normal"/>
    <w:link w:val="CharStyle6"/>
    <w:pPr>
      <w:widowControl w:val="0"/>
      <w:shd w:val="clear" w:color="auto" w:fill="auto"/>
      <w:spacing w:after="170" w:line="286" w:lineRule="auto"/>
      <w:jc w:val="center"/>
    </w:pPr>
    <w:rPr>
      <w:rFonts w:ascii="Times New Roman" w:eastAsia="Times New Roman" w:hAnsi="Times New Roman" w:cs="Times New Roman"/>
      <w:b w:val="0"/>
      <w:bCs w:val="0"/>
      <w:i w:val="0"/>
      <w:iCs w:val="0"/>
      <w:smallCaps w:val="0"/>
      <w:strike w:val="0"/>
      <w:color w:val="4360A3"/>
      <w:sz w:val="16"/>
      <w:szCs w:val="16"/>
      <w:u w:val="none"/>
    </w:rPr>
  </w:style>
  <w:style w:type="paragraph" w:customStyle="1" w:styleId="Style8">
    <w:name w:val="Основной текст (4)"/>
    <w:basedOn w:val="Normal"/>
    <w:link w:val="CharStyle9"/>
    <w:pPr>
      <w:widowControl w:val="0"/>
      <w:shd w:val="clear" w:color="auto" w:fill="auto"/>
      <w:spacing w:after="200"/>
      <w:jc w:val="center"/>
    </w:pPr>
    <w:rPr>
      <w:rFonts w:ascii="Times New Roman" w:eastAsia="Times New Roman" w:hAnsi="Times New Roman" w:cs="Times New Roman"/>
      <w:b/>
      <w:bCs/>
      <w:i w:val="0"/>
      <w:iCs w:val="0"/>
      <w:smallCaps w:val="0"/>
      <w:strike w:val="0"/>
      <w:color w:val="4360A3"/>
      <w:sz w:val="19"/>
      <w:szCs w:val="19"/>
      <w:u w:val="none"/>
    </w:rPr>
  </w:style>
  <w:style w:type="paragraph" w:customStyle="1" w:styleId="Style11">
    <w:name w:val="Подпись к картинке"/>
    <w:basedOn w:val="Normal"/>
    <w:link w:val="CharStyle12"/>
    <w:pPr>
      <w:widowControl w:val="0"/>
      <w:shd w:val="clear" w:color="auto" w:fill="auto"/>
      <w:spacing w:line="264" w:lineRule="auto"/>
    </w:pPr>
    <w:rPr>
      <w:rFonts w:ascii="Times New Roman" w:eastAsia="Times New Roman" w:hAnsi="Times New Roman" w:cs="Times New Roman"/>
      <w:b w:val="0"/>
      <w:bCs w:val="0"/>
      <w:i w:val="0"/>
      <w:iCs w:val="0"/>
      <w:smallCaps w:val="0"/>
      <w:strike w:val="0"/>
      <w:color w:val="4360A3"/>
      <w:sz w:val="18"/>
      <w:szCs w:val="18"/>
      <w:u w:val="none"/>
    </w:rPr>
  </w:style>
  <w:style w:type="paragraph" w:customStyle="1" w:styleId="Style13">
    <w:name w:val="Основной текст"/>
    <w:basedOn w:val="Normal"/>
    <w:link w:val="CharStyle14"/>
    <w:pPr>
      <w:widowControl w:val="0"/>
      <w:shd w:val="clear" w:color="auto" w:fill="auto"/>
      <w:ind w:firstLine="400"/>
    </w:pPr>
    <w:rPr>
      <w:rFonts w:ascii="Times New Roman" w:eastAsia="Times New Roman" w:hAnsi="Times New Roman" w:cs="Times New Roman"/>
      <w:b w:val="0"/>
      <w:bCs w:val="0"/>
      <w:i w:val="0"/>
      <w:iCs w:val="0"/>
      <w:smallCaps w:val="0"/>
      <w:strike w:val="0"/>
      <w:sz w:val="28"/>
      <w:szCs w:val="28"/>
      <w:u w:val="none"/>
    </w:rPr>
  </w:style>
  <w:style w:type="paragraph" w:customStyle="1" w:styleId="Style15">
    <w:name w:val="Заголовок №1"/>
    <w:basedOn w:val="Normal"/>
    <w:link w:val="CharStyle16"/>
    <w:pPr>
      <w:widowControl w:val="0"/>
      <w:shd w:val="clear" w:color="auto" w:fill="auto"/>
      <w:spacing w:after="180"/>
      <w:outlineLvl w:val="0"/>
    </w:pPr>
    <w:rPr>
      <w:rFonts w:ascii="Arial" w:eastAsia="Arial" w:hAnsi="Arial" w:cs="Arial"/>
      <w:b w:val="0"/>
      <w:bCs w:val="0"/>
      <w:i w:val="0"/>
      <w:iCs w:val="0"/>
      <w:smallCaps w:val="0"/>
      <w:strike w:val="0"/>
      <w:sz w:val="48"/>
      <w:szCs w:val="48"/>
      <w:u w:val="none"/>
    </w:rPr>
  </w:style>
  <w:style w:type="paragraph" w:customStyle="1" w:styleId="Style21">
    <w:name w:val="Основной текст (2)"/>
    <w:basedOn w:val="Normal"/>
    <w:link w:val="CharStyle22"/>
    <w:pPr>
      <w:widowControl w:val="0"/>
      <w:shd w:val="clear" w:color="auto" w:fill="auto"/>
      <w:spacing w:after="600"/>
      <w:ind w:firstLine="720"/>
    </w:pPr>
    <w:rPr>
      <w:rFonts w:ascii="Times New Roman" w:eastAsia="Times New Roman" w:hAnsi="Times New Roman" w:cs="Times New Roman"/>
      <w:b w:val="0"/>
      <w:bCs w:val="0"/>
      <w:i w:val="0"/>
      <w:iCs w:val="0"/>
      <w:smallCaps w:val="0"/>
      <w:strike w:val="0"/>
      <w:sz w:val="22"/>
      <w:szCs w:val="22"/>
      <w:u w:val="none"/>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image" Target="media/image1.jpeg" TargetMode="External"/><Relationship Id="rId7" Type="http://schemas.openxmlformats.org/officeDocument/2006/relationships/image" Target="media/image2.jpeg"/><Relationship Id="rId8" Type="http://schemas.openxmlformats.org/officeDocument/2006/relationships/image" Target="media/image2.jpeg" TargetMode="External"/><Relationship Id="rId9" Type="http://schemas.openxmlformats.org/officeDocument/2006/relationships/footer" Target="footer1.xml"/><Relationship Id="rId10" Type="http://schemas.openxmlformats.org/officeDocument/2006/relationships/header" Target="header1.xml"/><Relationship Id="rId11" Type="http://schemas.openxmlformats.org/officeDocument/2006/relationships/footer" Target="footer2.xml"/><Relationship Id="rId12" Type="http://schemas.openxmlformats.org/officeDocument/2006/relationships/header" Target="header2.xml"/><Relationship Id="rId13" Type="http://schemas.openxmlformats.org/officeDocument/2006/relationships/footer" Target="footer3.xml"/><Relationship Id="rId14" Type="http://schemas.openxmlformats.org/officeDocument/2006/relationships/header" Target="header3.xml"/><Relationship Id="rId15" Type="http://schemas.openxmlformats.org/officeDocument/2006/relationships/footer" Target="footer4.xml"/><Relationship Id="rId16" Type="http://schemas.openxmlformats.org/officeDocument/2006/relationships/header" Target="header4.xml"/><Relationship Id="rId17" Type="http://schemas.openxmlformats.org/officeDocument/2006/relationships/footer" Target="footer5.xml"/></Relationships>
</file>