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4732655</wp:posOffset>
                </wp:positionH>
                <wp:positionV relativeFrom="paragraph">
                  <wp:posOffset>12700</wp:posOffset>
                </wp:positionV>
                <wp:extent cx="2050415" cy="38862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0415" cy="3886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2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7288AD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ru-RU" w:eastAsia="ru-RU" w:bidi="ru-RU"/>
                              </w:rPr>
                              <w:t xml:space="preserve">монополияга </w:t>
                            </w:r>
                            <w:r>
                              <w:rPr>
                                <w:smallCaps/>
                                <w:color w:val="7288AD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ru-RU" w:eastAsia="ru-RU" w:bidi="ru-RU"/>
                              </w:rPr>
                              <w:t>каршы</w:t>
                              <w:br/>
                            </w:r>
                            <w:r>
                              <w:rPr>
                                <w:b/>
                                <w:bCs/>
                                <w:color w:val="7288AD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72.65000000000003pt;margin-top:1.pt;width:161.45000000000002pt;height:30.6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2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7288AD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ru-RU" w:eastAsia="ru-RU" w:bidi="ru-RU"/>
                        </w:rPr>
                        <w:t xml:space="preserve">монополияга </w:t>
                      </w:r>
                      <w:r>
                        <w:rPr>
                          <w:smallCaps/>
                          <w:color w:val="7288AD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ru-RU" w:eastAsia="ru-RU" w:bidi="ru-RU"/>
                        </w:rPr>
                        <w:t>каршы</w:t>
                        <w:br/>
                      </w:r>
                      <w:r>
                        <w:rPr>
                          <w:b/>
                          <w:bCs/>
                          <w:color w:val="7288AD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60" w:right="0" w:firstLine="0"/>
        <w:jc w:val="left"/>
        <w:rPr>
          <w:sz w:val="24"/>
          <w:szCs w:val="24"/>
        </w:rPr>
      </w:pPr>
      <w:r>
        <w:rPr>
          <w:b/>
          <w:bCs/>
          <w:color w:val="7288A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834" w:right="4447" w:bottom="1121" w:left="1139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7288A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34" w:right="0" w:bottom="112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14300" simplePos="0" relativeHeight="125829380" behindDoc="0" locked="0" layoutInCell="1" allowOverlap="1">
                <wp:simplePos x="0" y="0"/>
                <wp:positionH relativeFrom="page">
                  <wp:posOffset>835025</wp:posOffset>
                </wp:positionH>
                <wp:positionV relativeFrom="paragraph">
                  <wp:posOffset>12700</wp:posOffset>
                </wp:positionV>
                <wp:extent cx="2357120" cy="7226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57120" cy="722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288AD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но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5.75pt;margin-top:1.pt;width:185.59999999999999pt;height:56.899999999999999pt;z-index:-125829373;mso-wrap-distance-left:9.pt;mso-wrap-distance-right:9.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288AD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но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Казань. 420021</w:t>
        <w:br/>
        <w:t>тел.: (843) 236-89-22. факс (843) 238-19-46</w:t>
        <w:br/>
        <w:t>е-таП: 1о16@(а8.§оу.ги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288A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Монополияга 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288A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хезмэтнец</w:t>
        <w:br/>
        <w:t>Татарстан Республикасы</w:t>
        <w:br/>
        <w:t>буенча идарэсе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34" w:right="1362" w:bottom="1121" w:left="1650" w:header="0" w:footer="3" w:gutter="0"/>
          <w:cols w:num="2" w:space="2875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ур., 55 Порт, Казан шэЬэре, 420021</w:t>
        <w:br/>
        <w:t>тел.: (843) 236-89-22. факс (843)238-19-46</w:t>
        <w:br/>
        <w:t>е-таП: 1о16@Га8.§оу.ги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2" w:right="0" w:bottom="11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32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7288A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59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Заказчику: ГОСУДАРСТВЕННОЕ АВТОНОМНОЕ ПРОФЕССИОНАЛЬНОЕ ОБРАЗОВАТЕЛЬНОЕ УЧРЕЖДЕНИЕ «МЕЖДУНАРОДНЫЙ ЦЕНТР КОМПЕТЕНЦИЙ-КАЗАНСКИЙ ТЕХНИКУМ ИНФОРМАЦИОННЫХ ТЕХНОЛОГИЙ И СВЯЗИ»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АпуагРта83 @уапс1ех.ги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9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9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33" w:lineRule="auto"/>
        <w:ind w:left="5960" w:right="0" w:firstLine="2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а2геФаугас@.цтаП.сот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Решение по делу № 016/06/31-1748/2023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21" w:val="left"/>
        </w:tabs>
        <w:bidi w:val="0"/>
        <w:spacing w:before="0" w:after="30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 декабря 2023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062" w:val="left"/>
        </w:tabs>
        <w:bidi w:val="0"/>
        <w:spacing w:before="0" w:after="0" w:line="257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Яфизов А.А. - заместителя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6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058" w:val="left"/>
        </w:tabs>
        <w:bidi w:val="0"/>
        <w:spacing w:before="0" w:after="0" w:line="257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ведущего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60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 Габдулхаевой А.А.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 заказчика - Туктамышевой Д.А. (доверенность от 11.12.2023г.), в отсутствие заявителя ИП Байрамукова А.М., о месте и времени рассмотрения жалоб, извещен надлежащим образом, рассмотрев посредством видеоконференции жалобы ИП Байрамукова А.М. (вх. №13111/ж от 07.12.2023г. (ЕИС от 06.12.2023г., вх. №13112/ж от 07.12.2023г. (ЕИС от 06.12.2023г.) на действия заказчика ГОСУДАРСТВЕННОГО АВТОНОМНОГО ПРОФЕССИОНАЛЬНОГО ОБРАЗОВАТЕЛЬНОГО УЧРЕЖДЕНИЯ «МЕЖДУНАРОДНЫЙ ЦЕНТР КОМПЕТЕНЦИЙ-КАЗАНСКИЙ ТЕХНИКУМ ИНФОРМАЦИОННЫХ ТЕХНОЛОГИЙ И СВЯЗИ» при проведении закупки №0311100021123000005 на предмет: «Услуги по уборке внутренних помещений и прилегающей территории общежития Государственного автономного профессионального образовательного учреждения "Международный центр компетенций - Казанский техникум информационных технологий и связи" в 2024г», при проведении закупки №0311100021123000006 на предмет: «Услуги по санитарному обслуживанию и уборке помещений и прилегающей территории техникума Государственного автономного профессионального образовательного учреждения " Международный центр компетенций - Казанский техникум информационных технологий и связи" в 2024г»,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электронного аукциона №0311100021123000005 на предмет: «Услуги по уборке внутренних помещений и прилегающей территории общежития Государственного автономного профессионального образовательного учреждения " Международный центр компетенций - Казанский техникум информационных технологий и связи" в 2024г.» размещено на официальном сайте Российской Федерации для размещения информации о размещении заказов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УАУАУ./акиркгдоу.ги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04.12.2023г.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электронного аукциона №0311100021123000006 на предмет: «Услуги по санитарному обслуживанию и уборке помещений и прилегающей территории техникума Государственного автономного профессионального образовательного учреждения " Международный центр компетенций - Казанский техникум информационных технологий и связи" в 2024г.» размещено на официальном сайте Российской Федерации для размещения информации о размещении заказов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хухулу.гакиркгцоу.ги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04.12.2023г.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жалобы: по мнению заявителя, при проведении закупки нарушены требования действующего законодательства о контрактной системе.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Комиссия Татарстанского УФАС России по результатам рассмотрения доводов заявителя, позиции заказчика, изучения документов приходит к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695325</wp:posOffset>
                </wp:positionH>
                <wp:positionV relativeFrom="paragraph">
                  <wp:posOffset>215900</wp:posOffset>
                </wp:positionV>
                <wp:extent cx="6522085" cy="64008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2085" cy="640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4.75pt;margin-top:17.pt;width:513.54999999999995pt;height:50.399999999999999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1 части 1 статьи 31 Закона о контрактной системе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закона, заказчик устанавливает единые требования к участникам закупки, а именно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609600</wp:posOffset>
                </wp:positionV>
                <wp:extent cx="6862445" cy="22720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62445" cy="2272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70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1) получение обращения участника закупки с жалобой на действия (бездействие) субъектов контроля. Рассмотрение такой жалобы осуществляется в порядке, установленном главой 6 настоящего Федерального закона, за исключением случая обжалования действий (бездействия), предусмотренного частью 15.1 настоящей статьи. В случае, если внеплановая проверка проводится на основании жалобы участника закупки, по результатам проведения указанной проверки и рассмотрения такой жалобы принимается единое решение.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70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Согласно части 15.1 статьи 99 Закона о контрактной системе обращение с жалобой на действия (бездействие) лиц, указанных в пункте 1 части 15 настоящей ?: статьи, и информация, указывающая на наличие признаков нарушения законодательства Российской Федерации и иных нормативных правовых актов 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3.300000000000004pt;margin-top:48.pt;width:540.35000000000002pt;height:178.9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70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1) получение обращения участника закупки с жалобой на действия (бездействие) субъектов контроля. Рассмотрение такой жалобы осуществляется в порядке, установленном главой 6 настоящего Федерального закона, за исключением случая обжалования действий (бездействия), предусмотренного частью 15.1 настоящей статьи. В случае, если внеплановая проверка проводится на основании жалобы участника закупки, по результатам проведения указанной проверки и рассмотрения такой жалобы принимается единое решение.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70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Согласно части 15.1 статьи 99 Закона о контрактной системе обращение с жалобой на действия (бездействие) лиц, указанных в пункте 1 части 15 настоящей ?: статьи, и информация, указывающая на наличие признаков нарушения законодательства Российской Федерации и иных нормативных правовых актов 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пункту 1 части 15 статьи 99 Закона о контрактной системе контрольный орган в сфере закупок проводит внеплановую проверку по следующему основанию: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в сфере закупок положениями документации о закупке, извещения о запросе котировок, поступившие от физического лица, которое не соответствует требованиям пункта 1 части 1 статьи 31 настоящего Федерального закона в отношении объекта этой закупки и права и законные интересы которого не нарушены такими действиями (бездействием), положениями этих документации, извещения, рассматриваются контрольным органом в сфере закупок в соответствии с Федеральным законом от 2 мая 2006 года № 59-ФЗ "О порядке рассмотрения обращений граждан Российской Федерации".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участникам закупок отдельных видов товаров, работ, услуг, участникам отдельных закупок в соответствии с частью 4 статьи 31 Закона № 44-ФЗ предъявляются дополнительные требования, установленные в соответствии с частью 2 статьи 31 Закона № 44-ФЗ в приложении к постановлению Правительства Российской Федерации от 29 декабря 2021 г. № 2571 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 (далее - Постановление № 2571).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2" w:right="513" w:bottom="1194" w:left="103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Участниками указанных в таком приложении закупок отдельных видов товаров, работ, услуг, отдельных видов закупок могут являться исключительно лица, соответствующие дополнительным требованиям, установленным заказчиком в 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Постановлением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этой связи, при установлении Заказчиком в извещении дополнительных требований к участникам закупки в соответствии с Постановлением № 2571, заявитель жалобы должен также соответствовать данным требованиям.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установлено ранее из анализа извещения в рамках предметом рассматриваемых закупок предусмотрены услуги по уборке внутренних помещений и прилегающей территории общежития и услуги по санитарному обслуживанию и уборке помещений и прилегающей территории техникума.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изложенного, в рассматриваемом случае важно соответствие участника дополнительным требованиям в сфере здравоохранения, образования, науки, обеспечения санитарно-эпидемиологического благополучия населения, охраны, а именно наличие опыта исполнения участником закупки договора, предусматривающего оказание услуг по уборке зданий, сооружений, прилегающих к ним территорий, а также оказание услуг по содержанию зданий и прилегающей к ним территорий.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ходе проверки и анализа сведений Комиссией установлено, что заявитель жалобы не соответствует дополнительным требованиям в соответствии с позицией 36 раздела VI приложения к ПП РФ от 29.12.2021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изложенных обстоятельств в совокупности, учитывая, что заявитель не подключился на заседание Комиссии, не представил доказательств изложенного в жалобе, Комиссия приходит к выводу об оставлении жалоб без рассмотрения.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 И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Оставить жалобы заявителя ИП Байрамукова А.М. (вх. №13111/ж от 07.12.2023г. (ЕИС от 06.12.2023г., вх. №13112/ж от 07.12.2023г. (ЕИС от 06.12.2023г.) на действия заказчика ГОСУДАРСТВЕННОГО АВТОНОМНОГО ПРОФЕССИОНАЛЬНОГО ОБРАЗОВАТЕЛЬНОГО УЧРЕЖДЕНИЯ «МЕЖДУНАРОДНЫЙ ЦЕНТР КОМПЕТЕНЦИЙ-КАЗАНСКИЙ ТЕХНИКУМ ИНФОРМАЦИОННЫХ ТЕХНОЛОГИЙ И СВЯЗИ» при проведении закупки №0311100021123000005 на предмет: «Услуги по уборке внутренних помещений и прилегающей территории общежития Государственного автономного профессионального образовательного учреждения "Международный центр компетенций - Казанский техникум информационных технологий и связи" в 2024г», при проведении закупки №0311100021123000006 на предмет: «Услуги по санитарному обслуживанию и уборке помещений и прилегающей территории техникума Государственного автономного профессионального образовательного учреждения " Международный центр компетенций - Казанский техникум информационных технологий и связи" в 2024г», без рассмотрения.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судебном порядке в течение трех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drawing>
          <wp:anchor distT="0" distB="0" distL="114300" distR="1174750" simplePos="0" relativeHeight="125829386" behindDoc="0" locked="0" layoutInCell="1" allowOverlap="1">
            <wp:simplePos x="0" y="0"/>
            <wp:positionH relativeFrom="page">
              <wp:posOffset>4262755</wp:posOffset>
            </wp:positionH>
            <wp:positionV relativeFrom="paragraph">
              <wp:posOffset>38100</wp:posOffset>
            </wp:positionV>
            <wp:extent cx="1835150" cy="1713230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835150" cy="17132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6118860</wp:posOffset>
                </wp:positionH>
                <wp:positionV relativeFrom="paragraph">
                  <wp:posOffset>643890</wp:posOffset>
                </wp:positionV>
                <wp:extent cx="951230" cy="21018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А.А.Яфизов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1.80000000000001pt;margin-top:50.700000000000003pt;width:74.900000000000006pt;height:16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А.А.Яфизов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6066155</wp:posOffset>
                </wp:positionH>
                <wp:positionV relativeFrom="paragraph">
                  <wp:posOffset>1057910</wp:posOffset>
                </wp:positionV>
                <wp:extent cx="1040130" cy="21018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013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 Курмаева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7.65000000000003pt;margin-top:83.299999999999997pt;width:81.900000000000006pt;height:16.5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 Курмаева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5938520</wp:posOffset>
                </wp:positionH>
                <wp:positionV relativeFrom="paragraph">
                  <wp:posOffset>1469390</wp:posOffset>
                </wp:positionV>
                <wp:extent cx="1220470" cy="2082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0470" cy="20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.А. Габдулхаева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7.60000000000002pt;margin-top:115.7pt;width:96.100000000000009pt;height:16.3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.А. Габдулхаева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600" w:line="240" w:lineRule="auto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Исп.: Габдулхаева Айгуль Алмазовна 8(843)238-24-86</w:t>
      </w:r>
    </w:p>
    <w:sectPr>
      <w:headerReference w:type="default" r:id="rId11"/>
      <w:footerReference w:type="default" r:id="rId12"/>
      <w:headerReference w:type="even" r:id="rId13"/>
      <w:footerReference w:type="even" r:id="rId14"/>
      <w:footnotePr>
        <w:pos w:val="pageBottom"/>
        <w:numFmt w:val="decimal"/>
        <w:numRestart w:val="continuous"/>
      </w:footnotePr>
      <w:pgSz w:w="11900" w:h="16840"/>
      <w:pgMar w:top="1002" w:right="513" w:bottom="1194" w:left="1038" w:header="0" w:footer="766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779145</wp:posOffset>
              </wp:positionH>
              <wp:positionV relativeFrom="page">
                <wp:posOffset>10125075</wp:posOffset>
              </wp:positionV>
              <wp:extent cx="567055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230679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350000000000001pt;margin-top:797.25pt;width:44.649999999999999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230679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3905885</wp:posOffset>
              </wp:positionH>
              <wp:positionV relativeFrom="page">
                <wp:posOffset>402590</wp:posOffset>
              </wp:positionV>
              <wp:extent cx="64135" cy="11176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7.55000000000001pt;margin-top:31.699999999999999pt;width:5.0499999999999998pt;height:8.8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3912870</wp:posOffset>
              </wp:positionH>
              <wp:positionV relativeFrom="page">
                <wp:posOffset>421005</wp:posOffset>
              </wp:positionV>
              <wp:extent cx="64135" cy="11874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8.10000000000002pt;margin-top:33.149999999999999pt;width:5.0499999999999998pt;height:9.3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3912870</wp:posOffset>
              </wp:positionH>
              <wp:positionV relativeFrom="page">
                <wp:posOffset>421005</wp:posOffset>
              </wp:positionV>
              <wp:extent cx="64135" cy="11874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8.10000000000002pt;margin-top:33.149999999999999pt;width:5.0499999999999998pt;height:9.34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288AD"/>
      <w:sz w:val="15"/>
      <w:szCs w:val="15"/>
      <w:u w:val="none"/>
    </w:rPr>
  </w:style>
  <w:style w:type="character" w:customStyle="1" w:styleId="CharStyle10">
    <w:name w:val="Подпись к картинк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Основной текст (3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288AD"/>
      <w:sz w:val="15"/>
      <w:szCs w:val="15"/>
      <w:u w:val="none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/Relationships>
</file>