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1о77@Га8.еоу.т</w:t>
      </w:r>
    </w:p>
    <w:p>
      <w:pPr>
        <w:pStyle w:val="Style9"/>
        <w:keepNext/>
        <w:keepLines/>
        <w:widowControl w:val="0"/>
        <w:shd w:val="clear" w:color="auto" w:fill="auto"/>
        <w:tabs>
          <w:tab w:pos="1810" w:val="left"/>
        </w:tabs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8.12.2023</w:t>
        <w:tab/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54018/23</w:t>
      </w:r>
      <w:bookmarkEnd w:id="0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ФКУ ЦГИЖБО ФСИН России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охо.дкх@Г§т.8и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«МЕГАПОЛИС»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ппрепуа.теЬе1@Ы&lt;.П1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«Сбербанк-АСТ»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even" r:id="rId9"/>
          <w:footerReference w:type="even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298" w:right="1798" w:bottom="621" w:left="1298" w:header="0" w:footer="3" w:gutter="0"/>
          <w:pgNumType w:start="1"/>
          <w:cols w:num="2" w:space="1285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тГо@8ЫегЫапк-а81ми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3" w:after="13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94" w:right="0" w:bottom="52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8942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077/06/106-17376/2023 о нарушении</w:t>
        <w:br/>
        <w:t>законодательства о контрактной системе</w:t>
        <w:br/>
        <w:t>13.12.2023</w:t>
        <w:tab/>
        <w:t>г. Москва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г. Москве по контролю в сфере закупок товаров, работ, услуг (далее - Комиссия Управления) в составе: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Е.А. Мироновой,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Е.Д. Мартьяновой,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ФКУ ЦГИЖБО ФСИН России: И.М. Даниленко (по дов. № исх. 41/8-4008 от 12.12.2023), О.Ю. Павленко (по дов. № исх. 41/5-939 от 05.04.2023),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«МЕГАПОЛИС»: З.К. Межитовой (по дов. № б/н от 11.12.2023),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«МЕГАПОЛИС» (далее — Заявитель) на действия ФКУ ЦГИЖБО ФСИН России (далее — Заказчик) при проведении электронного аукциона на право заключения государственного контракта на поставку кресел офисных (Закупка № 0373100065123000224) (далее - электронный аукцион,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2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электронного аукциона.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Заказчиком представлены документы и сведения, запрашиваемые Московским УФАС России.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Комиссия Управления установила следующее.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указывает, что Заказчиком в адрес Заявителя направлен проект на подписание не на условиях извещения об осуществлении закупки и проекта контракта, при этом Заказчиком также неправомерно не принят направленный победителем протокол разногласий.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протоколу подведения итогов определения поставщика (подрядчика, исполнителя) от 23.11.2023 №ИЭА1 заявка ООО «МЕГАПОЛИС» признана соответствующей требованиям извещения об осуществлении закупки, данный участник закупки является победителем аукциона.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 1 ст. 34 Закона о контрактной системе контракт заключается на условиях, предусмотренных извещением об осуществлении закупки или приглашением, документацией о закупке, заявкой участника закупки, с которым заключается контракт, за исключением случаев, в которых в соответствии с Законом о контрактной системе извещение об осуществлении закупки или приглашение, документация о закупке, заявка не предусмотрены. В случае, предусмотренном ч. 24 ст. 22 Закона о контрактной системе, контракт должен содержать порядок определения количества поставляемого товара, объема выполняемой работы, оказываемой услуги на основании заявок заказчика.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ст.51 Закона о контрактной системе по результатам электронной процедуры контракт заключается с победителем определения поставщика (подрядчика, исполнителя), а в случаях, предусмотренных Законом о контрактной системе, с иным участником закупки (далее в настоящей статье - участник закупки, с которым заключается контракт) не ранее чем через десять дней (если Законом о контрактной системе не установлено иное) с даты размещения в единой информационной системе протокола подведения итогов определения поставщика (подрядчика, исполнителя), протокола, предусмотренного подпунктом «а» пункта 2 части 6 ст.51 Закона о контрактной системе, после предоставления участником закупки, с которым заключается контракт, обеспечения исполнения контракта в соответствии с требованиями Закона о контрактной системе (если требование обеспечения исполнения контракта установлено в извещении об осуществлении закупки). Участники закупки, заявки которых не отозваны в соответствии с Законом о контрактной системе, обязаны подписать контракт в порядке, установленном ст.51 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740"/>
        <w:jc w:val="both"/>
        <w:rPr>
          <w:sz w:val="22"/>
          <w:szCs w:val="22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94" w:right="541" w:bottom="526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Согласно п.1 ч.2 ст.51 Закона о контрактной системе не позднее двух рабочих дней, следующих за днем размещения в единой информационной системе протоколов, указанных в ч. 1 ст. 51 Закона о контрактной системе заказчик формирует с использованием единой информационной системы и размещает в единой информационной системе (без размещения на официальном сайте) и на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2023-61233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электронной площадке (с использованием единой информационной системы) без своей подписи проект контракта, указанный в п. 5 ч. 2 ст. 42 Закона о контрактной системе, который должен содержать: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1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информацию, предусмотренную ч. 6 ст. 30, пп. 1, 2, 5 - 8, 10, 17, 18 и 20 ч. 1 ст. 42 Закона о контрактной системе;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цену контракта, соответствующую цене контракта, предложенной в соответствии с Законом о контрактной системе участником закупки, с которым заключается контракт, с учетом положений нормативных правовых актов, принятых в соответствии со ст. 14 Закона о контрактной системе, положений ст. 28 и 29 Закона о контрактной системе, цену каждого отдельного этапа исполнения контракта, определенную в соответствии с ч. 2 ст. 34 Закона о контрактной системе (если проектом контракта предусмотрены отдельные этапы его исполнения). Предусмотренная настоящим подпунктом информация включается в проект контракта, за исключением случаев включения в него информации, предусмотренной подпунктами «в» или «г» настоящего пункта;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максимальное значение цены контракта и цену единицы товара, работы, услуги, соответствующие максимальному значению цены контракта, указанному в извещении об осуществлении закупки, с учетом положений нормативных правовых актов, принятых в соответствии со ст. 14 Закона о контрактной системе, положений ст. 28 и 29 Закона о контрактной системе (в случае, предусмотренном ч. 24 ст. 22 Закона о контрактной системе). При этом цена единицы товара, работы, услуги определяется путем уменьшения начальной цены такой единицы, указанной в извещении об осуществлении закупки, пропорционально снижению начальной суммы цен единиц товаров, работ, услуг, предложенному участником закупки, с которым заключается контракт;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размер платы, подлежащей внесению в соответствии с настоящим Федеральным законом участником закупки, с которым заключается контракт, за заключение контракта на счет, на котором в соответствии с законодательством Российской Федерации учитываются операции со средствами, поступающими заказчику (в случаях, предусмотренных Законом о контрактной системе);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информацию, предусмотренную пп. «а», «б», «г», «е» и «п» п. 1, пп. «а» и «б» п. 2 ч. 1 ст. 43 Закона о контрактной системе, а также информацию, предусмотренную пп. «г» п. 2 ст. 43 Закона о контрактной системе, в случае проведения электронного конкурса. При этом информация, предусмотренная пп. «а», «б», «г» и «е» п. 1 ч. 1 ст. 43 Закона о контрактной системе, указывается с использованием единой информационной системы по состоянию на дату и время формирования проекта контракта;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69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иные документы (при наличии).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установлено, что Заказчиком в срок, предусмотренный п.1 ч.2 ст.51 Закона о контрактной системе в адрес Заявителя направлен на подписание проект государственного контракта.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1162" w:right="550" w:bottom="1114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ч.3 ст.51 Закона о контрактной системе не позднее пяти рабочих дней, следующих за днем размещения заказчиком в соответствии с частью 2 ст.51 Закона о контрактной системе проекта контракта, участник закупки, с которым заключается контракт, осуществляет одно из следующих действий: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1) подписывает усиленной электронной подписью лица, имеющего право действовать от имени участника закупки, проект контракта и одновременно размещает на электронной площадке подписанный проект контракта, а также документ, подтверждающий предоставление обеспечения исполнения контракта в соответствии с Законом о контрактной системе (за исключением случаев, предусмотренных Законом о контрактной системе). При этом такой участник закупки: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случаях, предусмотренных статьей 37 Закона о контрактной системе, одновременно представляет заказчику информацию и документы, предусмотренные указанной статьей;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вносит на счет, на котором в соответствии с законодательством Российской Федерации учитываются операции со средствами, поступающими заказчику, денежные средства в размере платы, подлежащей внесению за заключение контракта, предложенной таким участником закупки (если по результатам определения поставщика (подрядчика, исполнителя) в соответствии с настоящим Федеральным законом определен размер платы, подлежащей внесению участником закупки за заключение контракта);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2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формирует, подписывает усиленной электронной подписью лица, имеющего право действовать от имени участника закупки, и размещает на электронной площадке и в единой информационной системе (с использованием электронной площадки, без размещения на официальном сайте) протокол разногласий в одном или нескольких из следующих случаев:</w:t>
      </w:r>
    </w:p>
    <w:p>
      <w:pPr>
        <w:pStyle w:val="Style1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7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разногласий в отношении информации, включенной в проект контракта в соответствии с пунктом 1 части 2 ст.51 Закона о контрактной системе, с указанием информации, не соответствующей требованиям, установленным в извещении об осуществлении закупки, и положениям заявки такого участника закупки;</w:t>
      </w:r>
    </w:p>
    <w:p>
      <w:pPr>
        <w:pStyle w:val="Style1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7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несогласие заключить контракт, содержащий условия, предусмотренные пунктом 2 части 2 ст.51 Закона о контрактной системе;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2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формирует, подписывает усиленной электронной подписью лица, имеющего право действовать от имени участника закупки, и размещает на электронной площадке отказ от заключения контракта в случае, предусмотренном пунктом 1 части 17.2 статьи 95 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Воспользовавшись правом, предусмотренным пп. «а» п.2 ч.3 ст.51 Закона о контрактной системе, Заявителем 04.12.2023 направлен в адрес Заказчика протокол разногласий с указанием замечаний в части выявленных несоответствий.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rPr>
          <w:sz w:val="22"/>
          <w:szCs w:val="22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1162" w:right="555" w:bottom="696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В силу п.3 ч.4 ст.51 Закона о контрактной системе не позднее двух рабочих дней, следующих за днем размещения участником закупки, с которым заключается контракт, информации и документов в соответствии с ч. 3 ст. 53 Закона о контрактной системе, заказчик формирует с использованием единой информационной системы и размещает в единой информационной системе (без размещения на официальном сайте) и на электронной площадке (с использованием единой информационной системы) без своей подписи проект контракта без учета либо с частичным учетом информации, содержащейся в протоколе разногласий, размещенном участником закупки, с которым заключается контракт, в соответствии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2023-61233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п. 2 ч. 3 ст. 51 Закона о контрактной системе. При таком размещении заказчик также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(без размещения на официальном сайте) информацию о причинах отказа учесть полностью или частично информацию, содержащуюся в протоколе разногласий. При этом информация, предусмотренная пп. «б» п. 2 ч. 3 ст. 51 Закона о контрактной системе, подлежит обязательному учету.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06.12.2023 Заказчиком размещены результаты обработки протокола разногласий к Контракту № 03731000651230002240001, согласно которым проект контракта формируется в соответствии с заявкой участника закупки, следовательно, по мнению Заказчика, не содержит противоречий к положениям проекта контракта, документации и (или) извещению о закупке.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отмечает, что согласно извещению об осуществлении закупки, «Приложению № 2 к Извещению о проведении электронного запроса котировок (Обоснование начальной (максимальной) цены контракта, цены контракта, заключаемого с единственным поставщиком (подрядчиком, исполнителем)», а также Приложению № 4 к извещению «Проект государственного контракта на поставку кресел офисных» Заказчиком установлено общее количество кресел к поставке в размере 120 шт., при этом согласно Приложению № 1 к извещению «Описание объекта закупки» Заказчиком установлено требование к общему количеству кресел: 140 шт.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также установлено, что в составе заявки Заявителя в двух файлах «технические характеристики №7.с1ос», «технические характеристики №7а5370038-6е63-4Г99-9са2-д958е9627с8д.дос» содержатся сведения о поставке кресел в размере 140 шт., при этом в структурированной форме заявки Заявителем предлагается к поставке 120 шт. кресел.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Заявителя пояснил, что в направленном Заказчиком на подпись Заявителю проекте контракта в приложении «Спецификация» установлено общее количество кресел в размере 140 шт., при этом согласно извещению об осуществлении закупки, Приложению № 2 к Извещению о проведении электронного запроса котировок, а также Приложению № 4 к извещению «Проект государственного контракта на поставку кресел офисных» предметом контракта является поставка 120 шт. кресел, ввиду чего направленный Заказчиком на подпись проект контракта не соответствует Закону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 1 ст. 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заседании Комиссии Управления представитель Заказчика пояснил, что в электронном извещении, а также в приложенных файлах: расчет НМЦК, проект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государственного контракта указано общее количество кресел 120 шт., при этом в приложенном файле «техническое задание» допущена техническая ошибка и указано общее количество 140 шт.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ввиду того, что победитель электронного аукциона в заявке указал общее количество кресел 140 шт., в проект государственного контракта были внесены сведения о данном количестве поставляемого товара.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свою очередь, Комиссия Управления отмечает, что структурированная форма заявки Заявителя составлена на условиях извещения об осуществлении закупки, согласно которым Заказчику требуется к поставке 120 шт. кресел, при этом направленный на подпись Заявителю государственный проект контракта данную информацию не содержит, ввиду чего действия Заказчика противоречат положениям ст.51 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Комиссия Управления отмечает, что заявка Заявителя содержит в себе противоречивую информацию относительно количества поставляемого товара, поскольку согласно сведениям, представленных в отдельных файлах в составе заявки, Заявителем предлагается к поставке 140 шт. кресел, при этом в структурированной форме указано количество равное 120 шт., что является основанием для отклонения заявки Заявителя, поскольку направленный Заказчиком проект контракта составлен также не на условиях заявки.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 о нарушении Заказчиком ч.1 ст.34, пп. «д» п.1 ч.2 ст.51 Закона о контрактной системе, что содержит признаки состава административного правонарушения, ответственность за которое предусмотрена ч.1 ст.7.32 Кодекса Российской Федерации об административных правонарушениях.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Одновременно с этим в ходе проведения внеплановой проверки Комиссией Управления установлено следующее.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16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Извещение об осуществлении закупки и перечень прикрепленных документов к нему содержат противоречивые сведения в отношении необходимого количества товаров, что вводит участников закупки в заблуждение и может повлечь за собой исполнение обязательств по контракту на неоднозначных условиях.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16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Так, Комиссией Управления установлено, что Заказчиком в извещении об осуществлении закупки, «Приложение № 2 к Извещению о проведении электронного запроса котировок (Обоснование начальной (максимальной) цены контракта, цены контракта, заключаемого с единственным поставщиком (подрядчиком, исполнителем)», Приложение № 4 к извещению «Проект государственного контракта на поставку кресел офисных» установлено, что Заказчиком закупается в совокупности 120 шт. кресел, при этом Приложением № 1 к извещению «Описание объекта закупки» установлено требование к общему количеству кресел в размере 140 шт.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16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выводу, что Заказчиком нарушены п.1 ч.1 ст. 33, п.3 ч.2 ст.42 Закона о контрактной системе, что также содержит признаки состава административного правонарушения, ответственность за которое предусмотрена ч.1.4 ст.7.30 Кодекса Российской Федерации об административных правонарушениях.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  <w:r>
        <w:br w:type="page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1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10" w:val="left"/>
        </w:tabs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.Признать жалобу ООО «МЕГАПОЛИС» на действия ФКУ ЦГИЖБО ФСИН России обоснованной.</w:t>
      </w:r>
    </w:p>
    <w:p>
      <w:pPr>
        <w:pStyle w:val="Style1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20" w:val="left"/>
        </w:tabs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.Признать в действиях Заказчика нарушение ч.1 ст.34, пп. «д» п.1 ч.2 ст.51, п.1 ч.1 ст. 33, п.3 ч.2 ст.42 Закона о контрактной системе.</w:t>
      </w:r>
    </w:p>
    <w:p>
      <w:pPr>
        <w:pStyle w:val="Style1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10" w:val="left"/>
        </w:tabs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4.Передать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widowControl w:val="0"/>
        <w:spacing w:line="1" w:lineRule="exact"/>
        <w:sectPr>
          <w:headerReference w:type="default" r:id="rId13"/>
          <w:footerReference w:type="default" r:id="rId14"/>
          <w:headerReference w:type="even" r:id="rId15"/>
          <w:footerReference w:type="even" r:id="rId16"/>
          <w:footnotePr>
            <w:pos w:val="pageBottom"/>
            <w:numFmt w:val="decimal"/>
            <w:numRestart w:val="continuous"/>
          </w:footnotePr>
          <w:pgSz w:w="11900" w:h="16840"/>
          <w:pgMar w:top="1158" w:right="534" w:bottom="1115" w:left="1098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30200" distB="356235" distL="0" distR="0" simplePos="0" relativeHeight="125829378" behindDoc="0" locked="0" layoutInCell="1" allowOverlap="1">
                <wp:simplePos x="0" y="0"/>
                <wp:positionH relativeFrom="page">
                  <wp:posOffset>730885</wp:posOffset>
                </wp:positionH>
                <wp:positionV relativeFrom="paragraph">
                  <wp:posOffset>330200</wp:posOffset>
                </wp:positionV>
                <wp:extent cx="1850390" cy="250190"/>
                <wp:wrapTopAndBottom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57.550000000000004pt;margin-top:26.pt;width:145.70000000000002pt;height:19.699999999999999pt;z-index:-125829375;mso-wrap-distance-left:0;mso-wrap-distance-top:26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00050" distB="0" distL="0" distR="1789430" simplePos="0" relativeHeight="125829380" behindDoc="0" locked="0" layoutInCell="1" allowOverlap="1">
            <wp:simplePos x="0" y="0"/>
            <wp:positionH relativeFrom="page">
              <wp:posOffset>3101975</wp:posOffset>
            </wp:positionH>
            <wp:positionV relativeFrom="paragraph">
              <wp:posOffset>400050</wp:posOffset>
            </wp:positionV>
            <wp:extent cx="353695" cy="536575"/>
            <wp:wrapTopAndBottom/>
            <wp:docPr id="20" name="Shap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box 21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3565525</wp:posOffset>
                </wp:positionH>
                <wp:positionV relativeFrom="paragraph">
                  <wp:posOffset>805180</wp:posOffset>
                </wp:positionV>
                <wp:extent cx="1280160" cy="100330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80.75pt;margin-top:63.399999999999999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3519805</wp:posOffset>
                </wp:positionH>
                <wp:positionV relativeFrom="paragraph">
                  <wp:posOffset>491490</wp:posOffset>
                </wp:positionV>
                <wp:extent cx="1725295" cy="255905"/>
                <wp:wrapNone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77.15000000000003pt;margin-top:38.700000000000003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51790" distB="332105" distL="0" distR="0" simplePos="0" relativeHeight="125829381" behindDoc="0" locked="0" layoutInCell="1" allowOverlap="1">
                <wp:simplePos x="0" y="0"/>
                <wp:positionH relativeFrom="page">
                  <wp:posOffset>6034405</wp:posOffset>
                </wp:positionH>
                <wp:positionV relativeFrom="paragraph">
                  <wp:posOffset>351790</wp:posOffset>
                </wp:positionV>
                <wp:extent cx="1182370" cy="252730"/>
                <wp:wrapTopAndBottom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237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Е.А. Миронова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475.15000000000003pt;margin-top:27.699999999999999pt;width:93.100000000000009pt;height:19.900000000000002pt;z-index:-125829372;mso-wrap-distance-left:0;mso-wrap-distance-top:27.699999999999999pt;mso-wrap-distance-right:0;mso-wrap-distance-bottom:26.150000000000002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Е.А. Миронова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Миронова Елена Александровна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>00Е9СРАА6ОО6САО20С424А9502РС296Е8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>: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3F3F3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22.12.2022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16.03.2024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820"/>
        <w:jc w:val="left"/>
      </w:pPr>
      <w:r>
        <w:drawing>
          <wp:anchor distT="0" distB="0" distL="114300" distR="1903730" simplePos="0" relativeHeight="125829383" behindDoc="0" locked="0" layoutInCell="1" allowOverlap="1">
            <wp:simplePos x="0" y="0"/>
            <wp:positionH relativeFrom="page">
              <wp:posOffset>3101975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28" name="Shape 2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box 29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3565525</wp:posOffset>
                </wp:positionH>
                <wp:positionV relativeFrom="paragraph">
                  <wp:posOffset>466090</wp:posOffset>
                </wp:positionV>
                <wp:extent cx="1280160" cy="103505"/>
                <wp:wrapNone/>
                <wp:docPr id="30" name="Shape 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6" type="#_x0000_t202" style="position:absolute;margin-left:280.75pt;margin-top:36.700000000000003pt;width:100.8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3519805</wp:posOffset>
                </wp:positionH>
                <wp:positionV relativeFrom="paragraph">
                  <wp:posOffset>154940</wp:posOffset>
                </wp:positionV>
                <wp:extent cx="1725295" cy="255905"/>
                <wp:wrapNone/>
                <wp:docPr id="32" name="Shape 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8" type="#_x0000_t202" style="position:absolute;margin-left:277.15000000000003pt;margin-top:12.200000000000001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Е.Д. Мартьянова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Мартьянова Елена Дмитриевна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F3F3F"/>
          <w:spacing w:val="0"/>
          <w:w w:val="100"/>
          <w:position w:val="0"/>
          <w:shd w:val="clear" w:color="auto" w:fill="auto"/>
          <w:lang w:val="ru-RU" w:eastAsia="ru-RU" w:bidi="ru-RU"/>
        </w:rPr>
        <w:t>0092302А1Е2Е82694604ЕЕР7722Э2557ЕЕ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3F3F3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05.12.2023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27.02.2025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820"/>
        <w:jc w:val="left"/>
      </w:pPr>
      <w:r>
        <w:drawing>
          <wp:anchor distT="0" distB="0" distL="114300" distR="1903730" simplePos="0" relativeHeight="125829384" behindDoc="0" locked="0" layoutInCell="1" allowOverlap="1">
            <wp:simplePos x="0" y="0"/>
            <wp:positionH relativeFrom="page">
              <wp:posOffset>3068955</wp:posOffset>
            </wp:positionH>
            <wp:positionV relativeFrom="paragraph">
              <wp:posOffset>25400</wp:posOffset>
            </wp:positionV>
            <wp:extent cx="389890" cy="433070"/>
            <wp:wrapSquare wrapText="right"/>
            <wp:docPr id="34" name="Shape 3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box 35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389890" cy="4330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3519805</wp:posOffset>
                </wp:positionH>
                <wp:positionV relativeFrom="paragraph">
                  <wp:posOffset>153670</wp:posOffset>
                </wp:positionV>
                <wp:extent cx="1725295" cy="255905"/>
                <wp:wrapNone/>
                <wp:docPr id="36" name="Shape 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2" type="#_x0000_t202" style="position:absolute;margin-left:277.15000000000003pt;margin-top:12.1pt;width:135.84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Матюшенко</w:t>
      </w:r>
    </w:p>
    <w:p>
      <w:pPr>
        <w:pStyle w:val="Style28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О СЕРТИФИКАТЕ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ЭП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Матюшенко Александр Александрович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3F3F3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F3F3F"/>
          <w:spacing w:val="0"/>
          <w:w w:val="100"/>
          <w:position w:val="0"/>
          <w:shd w:val="clear" w:color="auto" w:fill="auto"/>
          <w:lang w:val="ru-RU" w:eastAsia="ru-RU" w:bidi="ru-RU"/>
        </w:rPr>
        <w:t>44СЕ019Э689ЕВ23598ВССВЕ99Е1С6Е2С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74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10.04.2023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03.07.2024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Исп.Мартьянова Е.Д. тел.(495)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27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10092690</wp:posOffset>
              </wp:positionV>
              <wp:extent cx="722630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2023-61233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6.850000000000001pt;margin-top:794.70000000000005pt;width:56.8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2023-61233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16280" cy="100330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62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2023-61233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57.pt;margin-top:804.5pt;width:56.399999999999999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2023-61233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10092690</wp:posOffset>
              </wp:positionV>
              <wp:extent cx="722630" cy="100330"/>
              <wp:wrapNone/>
              <wp:docPr id="12" name="Shape 1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2023-61233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8" type="#_x0000_t202" style="position:absolute;margin-left:56.850000000000001pt;margin-top:794.70000000000005pt;width:56.899999999999999pt;height:7.90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2023-61233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10092690</wp:posOffset>
              </wp:positionV>
              <wp:extent cx="722630" cy="100330"/>
              <wp:wrapNone/>
              <wp:docPr id="16" name="Shape 1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2023-61233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2" type="#_x0000_t202" style="position:absolute;margin-left:56.850000000000001pt;margin-top:794.70000000000005pt;width:56.899999999999999pt;height:7.9000000000000004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2023-61233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3922395</wp:posOffset>
              </wp:positionH>
              <wp:positionV relativeFrom="page">
                <wp:posOffset>476250</wp:posOffset>
              </wp:positionV>
              <wp:extent cx="64135" cy="10350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8.85000000000002pt;margin-top:37.5pt;width:5.04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210185</wp:posOffset>
              </wp:positionV>
              <wp:extent cx="67310" cy="103505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309.pt;margin-top:16.550000000000001pt;width:5.2999999999999998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3922395</wp:posOffset>
              </wp:positionH>
              <wp:positionV relativeFrom="page">
                <wp:posOffset>476250</wp:posOffset>
              </wp:positionV>
              <wp:extent cx="64135" cy="103505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6" type="#_x0000_t202" style="position:absolute;margin-left:308.85000000000002pt;margin-top:37.5pt;width:5.0499999999999998pt;height:8.15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3922395</wp:posOffset>
              </wp:positionH>
              <wp:positionV relativeFrom="page">
                <wp:posOffset>476250</wp:posOffset>
              </wp:positionV>
              <wp:extent cx="64135" cy="103505"/>
              <wp:wrapNone/>
              <wp:docPr id="14" name="Shape 1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0" type="#_x0000_t202" style="position:absolute;margin-left:308.85000000000002pt;margin-top:37.5pt;width:5.0499999999999998pt;height:8.1500000000000004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2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8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10">
    <w:name w:val="Заголовок №2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3">
    <w:name w:val="Основной текст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0">
    <w:name w:val="Подпись к картинке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character" w:customStyle="1" w:styleId="CharStyle24">
    <w:name w:val="Основной текст (2)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color w:val="696969"/>
      <w:sz w:val="12"/>
      <w:szCs w:val="12"/>
      <w:u w:val="none"/>
    </w:rPr>
  </w:style>
  <w:style w:type="character" w:customStyle="1" w:styleId="CharStyle29">
    <w:name w:val="Основной текст (5)_"/>
    <w:basedOn w:val="DefaultParagraphFont"/>
    <w:link w:val="Style2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8E8E8"/>
      <w:sz w:val="12"/>
      <w:szCs w:val="12"/>
      <w:u w:val="none"/>
    </w:rPr>
  </w:style>
  <w:style w:type="character" w:customStyle="1" w:styleId="CharStyle32">
    <w:name w:val="Основной текст (4)_"/>
    <w:basedOn w:val="DefaultParagraphFont"/>
    <w:link w:val="Style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9">
    <w:name w:val="Заголовок №2"/>
    <w:basedOn w:val="Normal"/>
    <w:link w:val="CharStyle10"/>
    <w:pPr>
      <w:widowControl w:val="0"/>
      <w:shd w:val="clear" w:color="auto" w:fill="auto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9">
    <w:name w:val="Подпись к картинке"/>
    <w:basedOn w:val="Normal"/>
    <w:link w:val="CharStyle20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paragraph" w:customStyle="1" w:styleId="Style23">
    <w:name w:val="Основной текст (2)"/>
    <w:basedOn w:val="Normal"/>
    <w:link w:val="CharStyle24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96969"/>
      <w:sz w:val="12"/>
      <w:szCs w:val="12"/>
      <w:u w:val="none"/>
    </w:rPr>
  </w:style>
  <w:style w:type="paragraph" w:customStyle="1" w:styleId="Style28">
    <w:name w:val="Основной текст (5)"/>
    <w:basedOn w:val="Normal"/>
    <w:link w:val="CharStyle29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8E8E8"/>
      <w:sz w:val="12"/>
      <w:szCs w:val="12"/>
      <w:u w:val="none"/>
    </w:rPr>
  </w:style>
  <w:style w:type="paragraph" w:customStyle="1" w:styleId="Style31">
    <w:name w:val="Основной текст (4)"/>
    <w:basedOn w:val="Normal"/>
    <w:link w:val="CharStyle32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header" Target="header4.xml"/><Relationship Id="rId14" Type="http://schemas.openxmlformats.org/officeDocument/2006/relationships/footer" Target="footer4.xml"/><Relationship Id="rId15" Type="http://schemas.openxmlformats.org/officeDocument/2006/relationships/header" Target="header5.xml"/><Relationship Id="rId16" Type="http://schemas.openxmlformats.org/officeDocument/2006/relationships/footer" Target="footer5.xml"/><Relationship Id="rId17" Type="http://schemas.openxmlformats.org/officeDocument/2006/relationships/image" Target="media/image2.jpeg"/><Relationship Id="rId18" Type="http://schemas.openxmlformats.org/officeDocument/2006/relationships/image" Target="media/image2.jpeg" TargetMode="External"/><Relationship Id="rId19" Type="http://schemas.openxmlformats.org/officeDocument/2006/relationships/image" Target="media/image3.jpeg"/><Relationship Id="rId20" Type="http://schemas.openxmlformats.org/officeDocument/2006/relationships/image" Target="media/image3.jpeg" TargetMode="External"/><Relationship Id="rId21" Type="http://schemas.openxmlformats.org/officeDocument/2006/relationships/image" Target="media/image4.jpeg"/><Relationship Id="rId22" Type="http://schemas.openxmlformats.org/officeDocument/2006/relationships/image" Target="media/image4.jpeg" TargetMode="External"/></Relationships>
</file>