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615950" cy="71310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615950" cy="713105"/>
                    </a:xfrm>
                    <a:prstGeom prst="rect"/>
                  </pic:spPr>
                </pic:pic>
              </a:graphicData>
            </a:graphic>
          </wp:inline>
        </w:drawing>
      </w:r>
    </w:p>
    <w:p>
      <w:pPr>
        <w:widowControl w:val="0"/>
        <w:spacing w:after="99" w:line="1" w:lineRule="exact"/>
      </w:pPr>
    </w:p>
    <w:p>
      <w:pPr>
        <w:pStyle w:val="Style2"/>
        <w:keepNext w:val="0"/>
        <w:keepLines w:val="0"/>
        <w:widowControl w:val="0"/>
        <w:shd w:val="clear" w:color="auto" w:fill="auto"/>
        <w:bidi w:val="0"/>
        <w:spacing w:before="0" w:after="280" w:line="228"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ФЕДЕРАЛЬНАЯ</w:t>
        <w:br/>
        <w:t>АНТИМОНОПОЛЬНАЯ СЛУЖБА</w:t>
      </w:r>
    </w:p>
    <w:p>
      <w:pPr>
        <w:pStyle w:val="Style5"/>
        <w:keepNext/>
        <w:keepLines/>
        <w:widowControl w:val="0"/>
        <w:shd w:val="clear" w:color="auto" w:fill="auto"/>
        <w:bidi w:val="0"/>
        <w:spacing w:before="0" w:after="280" w:line="269" w:lineRule="auto"/>
        <w:ind w:left="0" w:right="0" w:firstLine="0"/>
        <w:jc w:val="center"/>
      </w:pPr>
      <w:bookmarkStart w:id="0" w:name="bookmark0"/>
      <w:r>
        <w:rPr>
          <w:color w:val="000000"/>
          <w:spacing w:val="0"/>
          <w:w w:val="100"/>
          <w:position w:val="0"/>
          <w:sz w:val="22"/>
          <w:szCs w:val="22"/>
          <w:shd w:val="clear" w:color="auto" w:fill="auto"/>
          <w:lang w:val="ru-RU" w:eastAsia="ru-RU" w:bidi="ru-RU"/>
        </w:rPr>
        <w:t>УПРАВЛЕНИЕ</w:t>
        <w:br/>
      </w:r>
      <w:r>
        <w:rPr>
          <w:color w:val="000000"/>
          <w:spacing w:val="0"/>
          <w:w w:val="100"/>
          <w:position w:val="0"/>
          <w:sz w:val="24"/>
          <w:szCs w:val="24"/>
          <w:shd w:val="clear" w:color="auto" w:fill="auto"/>
          <w:lang w:val="ru-RU" w:eastAsia="ru-RU" w:bidi="ru-RU"/>
        </w:rPr>
        <w:t>Федеральной антимонопольной службы</w:t>
        <w:br/>
        <w:t>по Вологодской области</w:t>
      </w:r>
      <w:bookmarkEnd w:id="0"/>
    </w:p>
    <w:p>
      <w:pPr>
        <w:pStyle w:val="Style8"/>
        <w:keepNext/>
        <w:keepLines/>
        <w:widowControl w:val="0"/>
        <w:pBdr>
          <w:top w:val="single" w:sz="4" w:space="0" w:color="auto"/>
        </w:pBdr>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160000, г. Вологда, ул. Пушкинская, 25, тел. (8172)72-99-70; факс (8172)72-46-64</w:t>
      </w:r>
      <w:bookmarkEnd w:id="2"/>
    </w:p>
    <w:p>
      <w:pPr>
        <w:pStyle w:val="Style8"/>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 xml:space="preserve">е-гпаП: </w:t>
      </w:r>
      <w:r>
        <w:rPr>
          <w:color w:val="000000"/>
          <w:spacing w:val="0"/>
          <w:w w:val="100"/>
          <w:position w:val="0"/>
          <w:u w:val="single"/>
          <w:shd w:val="clear" w:color="auto" w:fill="auto"/>
          <w:lang w:val="ru-RU" w:eastAsia="ru-RU" w:bidi="ru-RU"/>
        </w:rPr>
        <w:t>1о35@Га8.&amp;оу.ги</w:t>
      </w:r>
      <w:bookmarkEnd w:id="4"/>
    </w:p>
    <w:p>
      <w:pPr>
        <w:pStyle w:val="Style8"/>
        <w:keepNext/>
        <w:keepLines/>
        <w:widowControl w:val="0"/>
        <w:shd w:val="clear" w:color="auto" w:fill="auto"/>
        <w:bidi w:val="0"/>
        <w:spacing w:before="0" w:line="240" w:lineRule="auto"/>
        <w:ind w:left="0" w:right="0" w:firstLine="0"/>
        <w:jc w:val="left"/>
      </w:pPr>
      <w:bookmarkStart w:id="6" w:name="bookmark6"/>
      <w:r>
        <w:rPr>
          <w:color w:val="000000"/>
          <w:spacing w:val="0"/>
          <w:w w:val="100"/>
          <w:position w:val="0"/>
          <w:shd w:val="clear" w:color="auto" w:fill="auto"/>
          <w:lang w:val="ru-RU" w:eastAsia="ru-RU" w:bidi="ru-RU"/>
        </w:rPr>
        <w:t>Ы1р://уо1о§с1а.Еа8.§оу.ги</w:t>
      </w:r>
      <w:bookmarkEnd w:id="6"/>
    </w:p>
    <w:p>
      <w:pPr>
        <w:pStyle w:val="Style5"/>
        <w:keepNext/>
        <w:keepLines/>
        <w:widowControl w:val="0"/>
        <w:shd w:val="clear" w:color="auto" w:fill="auto"/>
        <w:bidi w:val="0"/>
        <w:spacing w:before="0" w:after="0" w:line="240" w:lineRule="auto"/>
        <w:ind w:left="4340" w:right="0" w:firstLine="60"/>
        <w:jc w:val="left"/>
      </w:pPr>
      <w:bookmarkStart w:id="8" w:name="bookmark8"/>
      <w:r>
        <w:rPr>
          <w:color w:val="000000"/>
          <w:spacing w:val="0"/>
          <w:w w:val="100"/>
          <w:position w:val="0"/>
          <w:sz w:val="24"/>
          <w:szCs w:val="24"/>
          <w:shd w:val="clear" w:color="auto" w:fill="auto"/>
          <w:lang w:val="ru-RU" w:eastAsia="ru-RU" w:bidi="ru-RU"/>
        </w:rPr>
        <w:t>Заявитель:</w:t>
      </w:r>
      <w:bookmarkEnd w:id="8"/>
    </w:p>
    <w:p>
      <w:pPr>
        <w:pStyle w:val="Style2"/>
        <w:keepNext w:val="0"/>
        <w:keepLines w:val="0"/>
        <w:widowControl w:val="0"/>
        <w:shd w:val="clear" w:color="auto" w:fill="auto"/>
        <w:bidi w:val="0"/>
        <w:spacing w:before="0" w:after="280" w:line="240" w:lineRule="auto"/>
        <w:ind w:left="4340" w:right="0" w:firstLine="60"/>
        <w:jc w:val="left"/>
      </w:pPr>
      <w:r>
        <w:rPr>
          <w:color w:val="000000"/>
          <w:spacing w:val="0"/>
          <w:w w:val="100"/>
          <w:position w:val="0"/>
          <w:sz w:val="24"/>
          <w:szCs w:val="24"/>
          <w:shd w:val="clear" w:color="auto" w:fill="auto"/>
          <w:lang w:val="ru-RU" w:eastAsia="ru-RU" w:bidi="ru-RU"/>
        </w:rPr>
        <w:t>ООО «АРГУС-ЦС»</w:t>
      </w:r>
    </w:p>
    <w:p>
      <w:pPr>
        <w:pStyle w:val="Style5"/>
        <w:keepNext/>
        <w:keepLines/>
        <w:widowControl w:val="0"/>
        <w:shd w:val="clear" w:color="auto" w:fill="auto"/>
        <w:bidi w:val="0"/>
        <w:spacing w:before="0" w:after="0" w:line="240" w:lineRule="auto"/>
        <w:ind w:left="4340" w:right="0" w:firstLine="60"/>
        <w:jc w:val="left"/>
      </w:pPr>
      <w:bookmarkStart w:id="10" w:name="bookmark10"/>
      <w:r>
        <w:rPr>
          <w:color w:val="000000"/>
          <w:spacing w:val="0"/>
          <w:w w:val="100"/>
          <w:position w:val="0"/>
          <w:sz w:val="24"/>
          <w:szCs w:val="24"/>
          <w:shd w:val="clear" w:color="auto" w:fill="auto"/>
          <w:lang w:val="ru-RU" w:eastAsia="ru-RU" w:bidi="ru-RU"/>
        </w:rPr>
        <w:t>Заказчик:</w:t>
      </w:r>
      <w:bookmarkEnd w:id="10"/>
    </w:p>
    <w:p>
      <w:pPr>
        <w:pStyle w:val="Style2"/>
        <w:keepNext w:val="0"/>
        <w:keepLines w:val="0"/>
        <w:widowControl w:val="0"/>
        <w:shd w:val="clear" w:color="auto" w:fill="auto"/>
        <w:bidi w:val="0"/>
        <w:spacing w:before="0" w:after="280" w:line="240" w:lineRule="auto"/>
        <w:ind w:left="4340" w:right="0" w:firstLine="60"/>
        <w:jc w:val="left"/>
      </w:pPr>
      <w:r>
        <w:rPr>
          <w:color w:val="000000"/>
          <w:spacing w:val="0"/>
          <w:w w:val="100"/>
          <w:position w:val="0"/>
          <w:sz w:val="24"/>
          <w:szCs w:val="24"/>
          <w:shd w:val="clear" w:color="auto" w:fill="auto"/>
          <w:lang w:val="ru-RU" w:eastAsia="ru-RU" w:bidi="ru-RU"/>
        </w:rPr>
        <w:t>БУЗ ВО «Вологодский областной онкологический диспансер»</w:t>
      </w:r>
    </w:p>
    <w:p>
      <w:pPr>
        <w:pStyle w:val="Style5"/>
        <w:keepNext/>
        <w:keepLines/>
        <w:widowControl w:val="0"/>
        <w:shd w:val="clear" w:color="auto" w:fill="auto"/>
        <w:bidi w:val="0"/>
        <w:spacing w:before="0" w:after="0" w:line="240" w:lineRule="auto"/>
        <w:ind w:left="4340" w:right="0" w:firstLine="60"/>
        <w:jc w:val="left"/>
      </w:pPr>
      <w:bookmarkStart w:id="12" w:name="bookmark12"/>
      <w:r>
        <w:rPr>
          <w:color w:val="000000"/>
          <w:spacing w:val="0"/>
          <w:w w:val="100"/>
          <w:position w:val="0"/>
          <w:sz w:val="24"/>
          <w:szCs w:val="24"/>
          <w:shd w:val="clear" w:color="auto" w:fill="auto"/>
          <w:lang w:val="ru-RU" w:eastAsia="ru-RU" w:bidi="ru-RU"/>
        </w:rPr>
        <w:t>Уполномоченное учреждение:</w:t>
      </w:r>
      <w:bookmarkEnd w:id="12"/>
    </w:p>
    <w:p>
      <w:pPr>
        <w:pStyle w:val="Style2"/>
        <w:keepNext w:val="0"/>
        <w:keepLines w:val="0"/>
        <w:widowControl w:val="0"/>
        <w:shd w:val="clear" w:color="auto" w:fill="auto"/>
        <w:bidi w:val="0"/>
        <w:spacing w:before="0" w:after="280" w:line="240" w:lineRule="auto"/>
        <w:ind w:left="4340" w:right="0" w:firstLine="60"/>
        <w:jc w:val="left"/>
      </w:pPr>
      <w:r>
        <w:rPr>
          <w:color w:val="000000"/>
          <w:spacing w:val="0"/>
          <w:w w:val="100"/>
          <w:position w:val="0"/>
          <w:sz w:val="24"/>
          <w:szCs w:val="24"/>
          <w:shd w:val="clear" w:color="auto" w:fill="auto"/>
          <w:lang w:val="ru-RU" w:eastAsia="ru-RU" w:bidi="ru-RU"/>
        </w:rPr>
        <w:t>КУ ВО «Центр закупок»</w:t>
      </w:r>
    </w:p>
    <w:p>
      <w:pPr>
        <w:pStyle w:val="Style5"/>
        <w:keepNext/>
        <w:keepLines/>
        <w:widowControl w:val="0"/>
        <w:shd w:val="clear" w:color="auto" w:fill="auto"/>
        <w:bidi w:val="0"/>
        <w:spacing w:before="0" w:after="0" w:line="240" w:lineRule="auto"/>
        <w:ind w:left="4340" w:right="0" w:firstLine="60"/>
        <w:jc w:val="left"/>
      </w:pPr>
      <w:bookmarkStart w:id="14" w:name="bookmark14"/>
      <w:r>
        <w:rPr>
          <w:color w:val="000000"/>
          <w:spacing w:val="0"/>
          <w:w w:val="100"/>
          <w:position w:val="0"/>
          <w:sz w:val="24"/>
          <w:szCs w:val="24"/>
          <w:shd w:val="clear" w:color="auto" w:fill="auto"/>
          <w:lang w:val="ru-RU" w:eastAsia="ru-RU" w:bidi="ru-RU"/>
        </w:rPr>
        <w:t>Оператор электронной площадки:</w:t>
      </w:r>
      <w:bookmarkEnd w:id="14"/>
    </w:p>
    <w:p>
      <w:pPr>
        <w:pStyle w:val="Style2"/>
        <w:keepNext w:val="0"/>
        <w:keepLines w:val="0"/>
        <w:widowControl w:val="0"/>
        <w:shd w:val="clear" w:color="auto" w:fill="auto"/>
        <w:bidi w:val="0"/>
        <w:spacing w:before="0" w:after="280" w:line="240" w:lineRule="auto"/>
        <w:ind w:left="4340" w:right="0" w:firstLine="60"/>
        <w:jc w:val="left"/>
      </w:pPr>
      <w:r>
        <w:rPr>
          <w:color w:val="000000"/>
          <w:spacing w:val="0"/>
          <w:w w:val="100"/>
          <w:position w:val="0"/>
          <w:sz w:val="24"/>
          <w:szCs w:val="24"/>
          <w:shd w:val="clear" w:color="auto" w:fill="auto"/>
          <w:lang w:val="ru-RU" w:eastAsia="ru-RU" w:bidi="ru-RU"/>
        </w:rPr>
        <w:t>АО «Сбербанк-АСТ»</w:t>
      </w:r>
    </w:p>
    <w:p>
      <w:pPr>
        <w:pStyle w:val="Style5"/>
        <w:keepNext/>
        <w:keepLines/>
        <w:widowControl w:val="0"/>
        <w:shd w:val="clear" w:color="auto" w:fill="auto"/>
        <w:bidi w:val="0"/>
        <w:spacing w:before="0" w:line="240" w:lineRule="auto"/>
        <w:ind w:left="0" w:right="0" w:firstLine="0"/>
        <w:jc w:val="center"/>
      </w:pPr>
      <w:bookmarkStart w:id="16" w:name="bookmark16"/>
      <w:r>
        <w:rPr>
          <w:color w:val="000000"/>
          <w:spacing w:val="0"/>
          <w:w w:val="100"/>
          <w:position w:val="0"/>
          <w:sz w:val="24"/>
          <w:szCs w:val="24"/>
          <w:shd w:val="clear" w:color="auto" w:fill="auto"/>
          <w:lang w:val="ru-RU" w:eastAsia="ru-RU" w:bidi="ru-RU"/>
        </w:rPr>
        <w:t>РЕШЕНИЕ № 035/06/49-947/2023</w:t>
      </w:r>
      <w:bookmarkEnd w:id="16"/>
    </w:p>
    <w:p>
      <w:pPr>
        <w:pStyle w:val="Style2"/>
        <w:keepNext w:val="0"/>
        <w:keepLines w:val="0"/>
        <w:widowControl w:val="0"/>
        <w:shd w:val="clear" w:color="auto" w:fill="auto"/>
        <w:tabs>
          <w:tab w:pos="8384" w:val="left"/>
        </w:tabs>
        <w:bidi w:val="0"/>
        <w:spacing w:before="0" w:after="200" w:line="240" w:lineRule="auto"/>
        <w:ind w:left="0" w:right="0" w:firstLine="0"/>
        <w:jc w:val="left"/>
      </w:pPr>
      <w:r>
        <w:rPr>
          <w:color w:val="000000"/>
          <w:spacing w:val="0"/>
          <w:w w:val="100"/>
          <w:position w:val="0"/>
          <w:sz w:val="24"/>
          <w:szCs w:val="24"/>
          <w:shd w:val="clear" w:color="auto" w:fill="auto"/>
          <w:lang w:val="ru-RU" w:eastAsia="ru-RU" w:bidi="ru-RU"/>
        </w:rPr>
        <w:t>13 декабря 2023 г.</w:t>
        <w:tab/>
        <w:t>г. Вологда</w:t>
      </w:r>
    </w:p>
    <w:p>
      <w:pPr>
        <w:pStyle w:val="Style2"/>
        <w:keepNext w:val="0"/>
        <w:keepLines w:val="0"/>
        <w:widowControl w:val="0"/>
        <w:shd w:val="clear" w:color="auto" w:fill="auto"/>
        <w:bidi w:val="0"/>
        <w:spacing w:before="0" w:after="0" w:line="240" w:lineRule="auto"/>
        <w:ind w:left="0" w:right="0" w:firstLine="420"/>
        <w:jc w:val="both"/>
      </w:pPr>
      <w:r>
        <w:rPr>
          <w:color w:val="000000"/>
          <w:spacing w:val="0"/>
          <w:w w:val="100"/>
          <w:position w:val="0"/>
          <w:sz w:val="24"/>
          <w:szCs w:val="24"/>
          <w:shd w:val="clear" w:color="auto" w:fill="auto"/>
          <w:lang w:val="ru-RU" w:eastAsia="ru-RU" w:bidi="ru-RU"/>
        </w:rPr>
        <w:t>Комиссия по контролю в сфере закупок Управления Федеральной антимонопольной службы по Вологодской области (далее - Комиссия УФАС, Комиссия Управления) в составе:</w:t>
      </w:r>
    </w:p>
    <w:p>
      <w:pPr>
        <w:pStyle w:val="Style2"/>
        <w:keepNext w:val="0"/>
        <w:keepLines w:val="0"/>
        <w:widowControl w:val="0"/>
        <w:shd w:val="clear" w:color="auto" w:fill="auto"/>
        <w:bidi w:val="0"/>
        <w:spacing w:before="0" w:after="0" w:line="240" w:lineRule="auto"/>
        <w:ind w:left="0" w:right="0" w:firstLine="420"/>
        <w:jc w:val="both"/>
      </w:pPr>
      <w:r>
        <w:rPr>
          <w:color w:val="000000"/>
          <w:spacing w:val="0"/>
          <w:w w:val="100"/>
          <w:position w:val="0"/>
          <w:sz w:val="24"/>
          <w:szCs w:val="24"/>
          <w:shd w:val="clear" w:color="auto" w:fill="auto"/>
          <w:lang w:val="ru-RU" w:eastAsia="ru-RU" w:bidi="ru-RU"/>
        </w:rPr>
        <w:t>Предтеченская Е.Н. - начальник отдела контроля органов власти и закупок Управления Федеральной антимонопольной службы по Вологодской области, председатель Комиссии Управления,</w:t>
      </w:r>
    </w:p>
    <w:p>
      <w:pPr>
        <w:pStyle w:val="Style2"/>
        <w:keepNext w:val="0"/>
        <w:keepLines w:val="0"/>
        <w:widowControl w:val="0"/>
        <w:shd w:val="clear" w:color="auto" w:fill="auto"/>
        <w:bidi w:val="0"/>
        <w:spacing w:before="0" w:after="0" w:line="240" w:lineRule="auto"/>
        <w:ind w:left="0" w:right="0" w:firstLine="420"/>
        <w:jc w:val="both"/>
      </w:pPr>
      <w:r>
        <w:rPr>
          <w:color w:val="000000"/>
          <w:spacing w:val="0"/>
          <w:w w:val="100"/>
          <w:position w:val="0"/>
          <w:sz w:val="24"/>
          <w:szCs w:val="24"/>
          <w:shd w:val="clear" w:color="auto" w:fill="auto"/>
          <w:lang w:val="ru-RU" w:eastAsia="ru-RU" w:bidi="ru-RU"/>
        </w:rPr>
        <w:t>Егорова А.А. - старший государственный инспектор отдела контроля органов власти и закупок Управления Федеральной антимонопольной службы по Вологодской области, член Комиссии Управления,</w:t>
      </w:r>
    </w:p>
    <w:p>
      <w:pPr>
        <w:pStyle w:val="Style2"/>
        <w:keepNext w:val="0"/>
        <w:keepLines w:val="0"/>
        <w:widowControl w:val="0"/>
        <w:shd w:val="clear" w:color="auto" w:fill="auto"/>
        <w:bidi w:val="0"/>
        <w:spacing w:before="0" w:after="0" w:line="240" w:lineRule="auto"/>
        <w:ind w:left="0" w:right="0" w:firstLine="420"/>
        <w:jc w:val="both"/>
      </w:pPr>
      <w:r>
        <w:rPr>
          <w:color w:val="000000"/>
          <w:spacing w:val="0"/>
          <w:w w:val="100"/>
          <w:position w:val="0"/>
          <w:sz w:val="24"/>
          <w:szCs w:val="24"/>
          <w:shd w:val="clear" w:color="auto" w:fill="auto"/>
          <w:lang w:val="ru-RU" w:eastAsia="ru-RU" w:bidi="ru-RU"/>
        </w:rPr>
        <w:t>Кузнецова Ю.Н. - старший государственный инспектор отдела контроля органов власти и закупок Управления Федеральной антимонопольной службы по Вологодской области, член Комиссии Управления,</w:t>
      </w:r>
    </w:p>
    <w:p>
      <w:pPr>
        <w:pStyle w:val="Style2"/>
        <w:keepNext w:val="0"/>
        <w:keepLines w:val="0"/>
        <w:widowControl w:val="0"/>
        <w:shd w:val="clear" w:color="auto" w:fill="auto"/>
        <w:bidi w:val="0"/>
        <w:spacing w:before="0" w:after="200" w:line="240" w:lineRule="auto"/>
        <w:ind w:left="0" w:right="0" w:firstLine="420"/>
        <w:jc w:val="both"/>
      </w:pPr>
      <w:r>
        <w:rPr>
          <w:color w:val="000000"/>
          <w:spacing w:val="0"/>
          <w:w w:val="100"/>
          <w:position w:val="0"/>
          <w:sz w:val="24"/>
          <w:szCs w:val="24"/>
          <w:shd w:val="clear" w:color="auto" w:fill="auto"/>
          <w:lang w:val="ru-RU" w:eastAsia="ru-RU" w:bidi="ru-RU"/>
        </w:rPr>
        <w:t>рассмотрев жалобу ООО «АРГУС-ЦС» (далее - Заявитель) на действия комиссии по осуществлению закупки при проведении аукциона в электронной форме «Выполнение работ по плановому контролю технического состояния и плановому техническому обслуживанию с заменой запасных частей компьютерных томографов 81ешепз 8ота1от ОсГтйюп А8 (з/п 66647 и з/п 92480)» извещение № 0830500000223004044, Заказчик - БУЗ ВО «Вологодский областной онкологический диспансер» (далее - Заказчик), уполномоченное учреждение - КУ ВО «Центр закупок» (далее - Уполномоченное учреждение) при участии представителей Заказчика, Уполномоченного учреждения, Заявителя</w:t>
      </w:r>
    </w:p>
    <w:p>
      <w:pPr>
        <w:pStyle w:val="Style5"/>
        <w:keepNext/>
        <w:keepLines/>
        <w:widowControl w:val="0"/>
        <w:shd w:val="clear" w:color="auto" w:fill="auto"/>
        <w:bidi w:val="0"/>
        <w:spacing w:before="0" w:line="240" w:lineRule="auto"/>
        <w:ind w:left="0" w:right="0" w:firstLine="0"/>
        <w:jc w:val="center"/>
      </w:pPr>
      <w:bookmarkStart w:id="18" w:name="bookmark18"/>
      <w:r>
        <w:rPr>
          <w:color w:val="000000"/>
          <w:spacing w:val="0"/>
          <w:w w:val="100"/>
          <w:position w:val="0"/>
          <w:sz w:val="24"/>
          <w:szCs w:val="24"/>
          <w:shd w:val="clear" w:color="auto" w:fill="auto"/>
          <w:lang w:val="ru-RU" w:eastAsia="ru-RU" w:bidi="ru-RU"/>
        </w:rPr>
        <w:t>УСТАНОВИЛА:</w:t>
      </w:r>
      <w:bookmarkEnd w:id="18"/>
    </w:p>
    <w:p>
      <w:pPr>
        <w:pStyle w:val="Style2"/>
        <w:keepNext w:val="0"/>
        <w:keepLines w:val="0"/>
        <w:widowControl w:val="0"/>
        <w:shd w:val="clear" w:color="auto" w:fill="auto"/>
        <w:bidi w:val="0"/>
        <w:spacing w:before="0" w:after="0" w:line="240" w:lineRule="auto"/>
        <w:ind w:left="0" w:right="0" w:firstLine="9680"/>
        <w:jc w:val="both"/>
      </w:pPr>
      <w:r>
        <w:rPr>
          <w:color w:val="000000"/>
          <w:spacing w:val="0"/>
          <w:w w:val="100"/>
          <w:position w:val="0"/>
          <w:sz w:val="24"/>
          <w:szCs w:val="24"/>
          <w:shd w:val="clear" w:color="auto" w:fill="auto"/>
          <w:lang w:val="ru-RU" w:eastAsia="ru-RU" w:bidi="ru-RU"/>
        </w:rPr>
        <w:t>2 08.12.2023 в Единой информационной системе в сфере закупок (далее - ЕИС) размещена жалоба Заявителя на действия комиссии по осуществлению закупки при проведении аукциона в электронной форме «Выполнение работ по плановому контролю технического состояния и плановому техническому обслуживанию с заменой запасных частей компьютерных томографов §1етеп8 8ота1от ЭеГтШоп А8 (з/п 66647 и з/п 92480)» извещение № 0830500000223004044 (далее - аукцион, закупка),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2"/>
        <w:keepNext w:val="0"/>
        <w:keepLines w:val="0"/>
        <w:widowControl w:val="0"/>
        <w:shd w:val="clear" w:color="auto" w:fill="auto"/>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Жалоба Заявителя подана в надлежащий срок и соответствует требованиям, предусмотренным ст. 105 Закона о контрактной системе.</w:t>
      </w:r>
    </w:p>
    <w:p>
      <w:pPr>
        <w:pStyle w:val="Style2"/>
        <w:keepNext w:val="0"/>
        <w:keepLines w:val="0"/>
        <w:widowControl w:val="0"/>
        <w:shd w:val="clear" w:color="auto" w:fill="auto"/>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В жалобе Заявитель указывает на неправомерное отклонение его заявки и полагает, что им представлены все документы, подтверждающие его соответствие требованиям извещения.</w:t>
      </w:r>
    </w:p>
    <w:p>
      <w:pPr>
        <w:pStyle w:val="Style2"/>
        <w:keepNext w:val="0"/>
        <w:keepLines w:val="0"/>
        <w:widowControl w:val="0"/>
        <w:shd w:val="clear" w:color="auto" w:fill="auto"/>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Заказчиком и Уполномоченным учреждением представлены возражения на жалобу. С доводом жалобы Заказчик и Уполномоченное учреждение не согласны, считают, что комиссия при рассмотрении заявок участников действовала в полном соответствии с положениями извещения о закупке и действующим законодательством, просят признать жалобу необоснованной.</w:t>
      </w:r>
    </w:p>
    <w:p>
      <w:pPr>
        <w:pStyle w:val="Style2"/>
        <w:keepNext w:val="0"/>
        <w:keepLines w:val="0"/>
        <w:widowControl w:val="0"/>
        <w:shd w:val="clear" w:color="auto" w:fill="auto"/>
        <w:bidi w:val="0"/>
        <w:spacing w:before="0" w:after="0" w:line="240" w:lineRule="auto"/>
        <w:ind w:left="0" w:right="0" w:firstLine="440"/>
        <w:jc w:val="left"/>
      </w:pPr>
      <w:r>
        <w:rPr>
          <w:color w:val="000000"/>
          <w:spacing w:val="0"/>
          <w:w w:val="100"/>
          <w:position w:val="0"/>
          <w:sz w:val="24"/>
          <w:szCs w:val="24"/>
          <w:shd w:val="clear" w:color="auto" w:fill="auto"/>
          <w:lang w:val="ru-RU" w:eastAsia="ru-RU" w:bidi="ru-RU"/>
        </w:rPr>
        <w:t>Заседание Комиссии УФАС проведено посредством видеоконференцсвязи.</w:t>
      </w:r>
    </w:p>
    <w:p>
      <w:pPr>
        <w:pStyle w:val="Style2"/>
        <w:keepNext w:val="0"/>
        <w:keepLines w:val="0"/>
        <w:widowControl w:val="0"/>
        <w:shd w:val="clear" w:color="auto" w:fill="auto"/>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Комиссия УФАС, рассмотрев представленные материалы, заслушав представителей Заказчика и Уполномоченного учреждения пришла к выводу о следующем.</w:t>
      </w:r>
    </w:p>
    <w:p>
      <w:pPr>
        <w:pStyle w:val="Style2"/>
        <w:keepNext w:val="0"/>
        <w:keepLines w:val="0"/>
        <w:widowControl w:val="0"/>
        <w:shd w:val="clear" w:color="auto" w:fill="auto"/>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28.11.2023 в ЕИС размещен документ «Извещение о проведении электронного аукциона от 28.11.2023 №0830500000223004044».</w:t>
      </w:r>
    </w:p>
    <w:p>
      <w:pPr>
        <w:pStyle w:val="Style2"/>
        <w:keepNext w:val="0"/>
        <w:keepLines w:val="0"/>
        <w:widowControl w:val="0"/>
        <w:shd w:val="clear" w:color="auto" w:fill="auto"/>
        <w:bidi w:val="0"/>
        <w:spacing w:before="0" w:after="40" w:line="240" w:lineRule="auto"/>
        <w:ind w:left="0" w:right="0" w:firstLine="440"/>
        <w:jc w:val="left"/>
      </w:pPr>
      <w:r>
        <w:rPr>
          <w:color w:val="000000"/>
          <w:spacing w:val="0"/>
          <w:w w:val="100"/>
          <w:position w:val="0"/>
          <w:sz w:val="24"/>
          <w:szCs w:val="24"/>
          <w:shd w:val="clear" w:color="auto" w:fill="auto"/>
          <w:lang w:val="ru-RU" w:eastAsia="ru-RU" w:bidi="ru-RU"/>
        </w:rPr>
        <w:t>Начальная (максимальная) цена контракта: 18 369 594,00 руб.</w:t>
      </w:r>
    </w:p>
    <w:p>
      <w:pPr>
        <w:pStyle w:val="Style2"/>
        <w:keepNext w:val="0"/>
        <w:keepLines w:val="0"/>
        <w:widowControl w:val="0"/>
        <w:shd w:val="clear" w:color="auto" w:fill="auto"/>
        <w:tabs>
          <w:tab w:pos="5142" w:val="left"/>
        </w:tabs>
        <w:bidi w:val="0"/>
        <w:spacing w:before="0" w:after="40" w:line="240" w:lineRule="auto"/>
        <w:ind w:left="0" w:right="0" w:firstLine="440"/>
        <w:jc w:val="left"/>
      </w:pPr>
      <w:r>
        <w:rPr>
          <w:color w:val="000000"/>
          <w:spacing w:val="0"/>
          <w:w w:val="100"/>
          <w:position w:val="0"/>
          <w:sz w:val="24"/>
          <w:szCs w:val="24"/>
          <w:shd w:val="clear" w:color="auto" w:fill="auto"/>
          <w:lang w:val="ru-RU" w:eastAsia="ru-RU" w:bidi="ru-RU"/>
        </w:rPr>
        <w:t>Дата и время окончания подачи заявок:</w:t>
        <w:tab/>
        <w:t>06.12.2022 в 08:00.</w:t>
      </w:r>
    </w:p>
    <w:p>
      <w:pPr>
        <w:pStyle w:val="Style2"/>
        <w:keepNext w:val="0"/>
        <w:keepLines w:val="0"/>
        <w:widowControl w:val="0"/>
        <w:shd w:val="clear" w:color="auto" w:fill="auto"/>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07.12.2023 в ЕИС размещен «Протокол подведения итогов определения поставщика (подрядчика, исполнителя) от 07.12.2023 №ИЭА1» для закупки №0830500000223004044.</w:t>
      </w:r>
    </w:p>
    <w:p>
      <w:pPr>
        <w:pStyle w:val="Style2"/>
        <w:keepNext w:val="0"/>
        <w:keepLines w:val="0"/>
        <w:widowControl w:val="0"/>
        <w:shd w:val="clear" w:color="auto" w:fill="auto"/>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2"/>
        <w:keepNext w:val="0"/>
        <w:keepLines w:val="0"/>
        <w:widowControl w:val="0"/>
        <w:shd w:val="clear" w:color="auto" w:fill="auto"/>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Согласно ст.8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2"/>
        <w:keepNext w:val="0"/>
        <w:keepLines w:val="0"/>
        <w:widowControl w:val="0"/>
        <w:shd w:val="clear" w:color="auto" w:fill="auto"/>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2"/>
        <w:keepNext w:val="0"/>
        <w:keepLines w:val="0"/>
        <w:widowControl w:val="0"/>
        <w:shd w:val="clear" w:color="auto" w:fill="auto"/>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Требования к участникам закупки устанавливаются в соответствии с требованиями ст. 31 Закона о контрактной системе.</w:t>
      </w:r>
    </w:p>
    <w:p>
      <w:pPr>
        <w:pStyle w:val="Style2"/>
        <w:keepNext w:val="0"/>
        <w:keepLines w:val="0"/>
        <w:widowControl w:val="0"/>
        <w:shd w:val="clear" w:color="auto" w:fill="auto"/>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 xml:space="preserve">Согласно установленным в извещении требованиям участник закупки должен предоставить, в том числе: </w:t>
      </w:r>
      <w:r>
        <w:rPr>
          <w:i/>
          <w:iCs/>
          <w:color w:val="000000"/>
          <w:spacing w:val="0"/>
          <w:w w:val="100"/>
          <w:position w:val="0"/>
          <w:sz w:val="24"/>
          <w:szCs w:val="24"/>
          <w:shd w:val="clear" w:color="auto" w:fill="auto"/>
          <w:lang w:val="ru-RU" w:eastAsia="ru-RU" w:bidi="ru-RU"/>
        </w:rPr>
        <w:t>«документы, подтверждающие соответствие участника закупки требованиям, установленным статьей 31 Федерального закона:</w:t>
      </w:r>
    </w:p>
    <w:p>
      <w:pPr>
        <w:pStyle w:val="Style2"/>
        <w:keepNext w:val="0"/>
        <w:keepLines w:val="0"/>
        <w:widowControl w:val="0"/>
        <w:numPr>
          <w:ilvl w:val="0"/>
          <w:numId w:val="1"/>
        </w:numPr>
        <w:shd w:val="clear" w:color="auto" w:fill="auto"/>
        <w:tabs>
          <w:tab w:pos="360" w:val="left"/>
        </w:tabs>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Документы, которые должны быть предоставлены участниками аукциона в соответствии с пунктом 1 части 1 статьи 31 Федерального закона:</w:t>
      </w:r>
    </w:p>
    <w:p>
      <w:pPr>
        <w:pStyle w:val="Style2"/>
        <w:keepNext w:val="0"/>
        <w:keepLines w:val="0"/>
        <w:widowControl w:val="0"/>
        <w:numPr>
          <w:ilvl w:val="1"/>
          <w:numId w:val="1"/>
        </w:numPr>
        <w:shd w:val="clear" w:color="auto" w:fill="auto"/>
        <w:tabs>
          <w:tab w:pos="522" w:val="left"/>
        </w:tabs>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Выписка из реестра лицензий - или копия акта лицензирующего органа о принятом решении с указанием лицензируемого вида деятельности на осуществление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(в соответствии с Постановлением Правительства РФ от 02.04.2012 г. № 278 «О лицензировании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включая следующие виды выполняемых работ и оказываемых услуг:</w:t>
      </w:r>
    </w:p>
    <w:p>
      <w:pPr>
        <w:pStyle w:val="Style2"/>
        <w:keepNext w:val="0"/>
        <w:keepLines w:val="0"/>
        <w:widowControl w:val="0"/>
        <w:numPr>
          <w:ilvl w:val="0"/>
          <w:numId w:val="3"/>
        </w:numPr>
        <w:shd w:val="clear" w:color="auto" w:fill="auto"/>
        <w:tabs>
          <w:tab w:pos="217" w:val="left"/>
        </w:tabs>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Техническое обслуживание источников ионизирующего излучения (генерирующих).</w:t>
      </w:r>
    </w:p>
    <w:p>
      <w:pPr>
        <w:pStyle w:val="Style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или</w:t>
      </w:r>
    </w:p>
    <w:p>
      <w:pPr>
        <w:pStyle w:val="Style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выписка из реестра лицензий или копия акта лицензирующего органа о принятом решении с указанием лицензируемого вида деятельности на осуществление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(в соответствии с Постановлением Правительства РФ от 25.01.2022 г. № 45 «О лицензировании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включая следующие виды выполняемых работ и оказываемых услуг:</w:t>
      </w:r>
    </w:p>
    <w:p>
      <w:pPr>
        <w:pStyle w:val="Style2"/>
        <w:keepNext w:val="0"/>
        <w:keepLines w:val="0"/>
        <w:widowControl w:val="0"/>
        <w:numPr>
          <w:ilvl w:val="0"/>
          <w:numId w:val="3"/>
        </w:numPr>
        <w:shd w:val="clear" w:color="auto" w:fill="auto"/>
        <w:tabs>
          <w:tab w:pos="217" w:val="left"/>
        </w:tabs>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Техническое обслуживание источников ионизирующего излучения (генерирующих).</w:t>
      </w:r>
    </w:p>
    <w:p>
      <w:pPr>
        <w:pStyle w:val="Style2"/>
        <w:keepNext w:val="0"/>
        <w:keepLines w:val="0"/>
        <w:widowControl w:val="0"/>
        <w:numPr>
          <w:ilvl w:val="1"/>
          <w:numId w:val="1"/>
        </w:numPr>
        <w:shd w:val="clear" w:color="auto" w:fill="auto"/>
        <w:tabs>
          <w:tab w:pos="522" w:val="left"/>
        </w:tabs>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Выписка из реестра лицензий или копия акта лицензирующего органа о принятом решении с указанием лицензируемого вида деятельности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соответствии с Постановлением Правительства РФ от 03.06.2013 г. № 469 "Об утверждении Положения о лицензировании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включая следующие виды выполняемых работ и оказываемых услуг:</w:t>
      </w:r>
    </w:p>
    <w:p>
      <w:pPr>
        <w:pStyle w:val="Style2"/>
        <w:keepNext w:val="0"/>
        <w:keepLines w:val="0"/>
        <w:widowControl w:val="0"/>
        <w:numPr>
          <w:ilvl w:val="0"/>
          <w:numId w:val="5"/>
        </w:numPr>
        <w:shd w:val="clear" w:color="auto" w:fill="auto"/>
        <w:tabs>
          <w:tab w:pos="320" w:val="left"/>
        </w:tabs>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контроль технического состояния медицинской техники;</w:t>
      </w:r>
    </w:p>
    <w:p>
      <w:pPr>
        <w:pStyle w:val="Style2"/>
        <w:keepNext w:val="0"/>
        <w:keepLines w:val="0"/>
        <w:widowControl w:val="0"/>
        <w:numPr>
          <w:ilvl w:val="0"/>
          <w:numId w:val="5"/>
        </w:numPr>
        <w:shd w:val="clear" w:color="auto" w:fill="auto"/>
        <w:tabs>
          <w:tab w:pos="316" w:val="left"/>
        </w:tabs>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периодическое и текущее техническое обслуживание медицинской техники;</w:t>
      </w:r>
    </w:p>
    <w:p>
      <w:pPr>
        <w:pStyle w:val="Style2"/>
        <w:keepNext w:val="0"/>
        <w:keepLines w:val="0"/>
        <w:widowControl w:val="0"/>
        <w:numPr>
          <w:ilvl w:val="0"/>
          <w:numId w:val="5"/>
        </w:numPr>
        <w:shd w:val="clear" w:color="auto" w:fill="auto"/>
        <w:tabs>
          <w:tab w:pos="302" w:val="left"/>
        </w:tabs>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ремонт медицинской техники, или</w:t>
      </w:r>
    </w:p>
    <w:p>
      <w:pPr>
        <w:pStyle w:val="Style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Выписка из реестра лицензий или копия акта лицензирующего органа о принятом решении с указанием лицензируемого вида деятельности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соответствии с Постановлением Правительства РФ от 15.09.2020 г. № 1445 «О лицензировании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лира или индивидуального предпринимателя) медицинской техники») (в редакции от 01.01.2021г.) включая следующие виды выполняемых работ, оказываемых услуг:</w:t>
      </w:r>
    </w:p>
    <w:p>
      <w:pPr>
        <w:pStyle w:val="Style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Техническое обслуживание следующих групп медицинской техники класса 26 потенциального риска применения:</w:t>
      </w:r>
    </w:p>
    <w:p>
      <w:pPr>
        <w:pStyle w:val="Style2"/>
        <w:keepNext w:val="0"/>
        <w:keepLines w:val="0"/>
        <w:widowControl w:val="0"/>
        <w:shd w:val="clear" w:color="auto" w:fill="auto"/>
        <w:bidi w:val="0"/>
        <w:spacing w:before="0" w:after="0" w:line="252" w:lineRule="auto"/>
        <w:ind w:left="0" w:right="0" w:firstLine="9680"/>
        <w:jc w:val="both"/>
      </w:pPr>
      <w:r>
        <w:rPr>
          <w:color w:val="000000"/>
          <w:spacing w:val="0"/>
          <w:w w:val="100"/>
          <w:position w:val="0"/>
          <w:sz w:val="20"/>
          <w:szCs w:val="20"/>
          <w:shd w:val="clear" w:color="auto" w:fill="auto"/>
          <w:lang w:val="ru-RU" w:eastAsia="ru-RU" w:bidi="ru-RU"/>
        </w:rPr>
        <w:t xml:space="preserve">4 </w:t>
      </w:r>
      <w:r>
        <w:rPr>
          <w:i/>
          <w:iCs/>
          <w:color w:val="000000"/>
          <w:spacing w:val="0"/>
          <w:w w:val="100"/>
          <w:position w:val="0"/>
          <w:sz w:val="24"/>
          <w:szCs w:val="24"/>
          <w:shd w:val="clear" w:color="auto" w:fill="auto"/>
          <w:lang w:val="ru-RU" w:eastAsia="ru-RU" w:bidi="ru-RU"/>
        </w:rPr>
        <w:t>- радиологические медицинские изделия (в части рентгеновского оборудования для компьютерной томографии и ангиографии)</w:t>
      </w:r>
    </w:p>
    <w:p>
      <w:pPr>
        <w:pStyle w:val="Style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или</w:t>
      </w:r>
    </w:p>
    <w:p>
      <w:pPr>
        <w:pStyle w:val="Style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Выписка из реестра лицензий или копия акта лицензирующего органа о принятом решении с указанием лицензируемого вида деятельности на осуществление деятельности по техническому обслулсиватпо медицинских изделий (за исключением случая, если техническое обслуживание осуществляется для обеспечения собственных нужд юридического лгща или индивидуального предпринимателя, а также случая технического обслуживания медицинских изделии с низкой степенью потенциального риска их применения): в части технического обслуживания медицинских изделий (за исключением случая, если техническое обслулсивание осуществляется для обеспечения собственных нулсд юридического лица или индивидуального предпринимателя, а таклсе случая технического обслуживания медицинских изделий с низкой степенью потенциального риска их применения): (в соответствии с Постановлением Правительства РФ от 15.09.2020 г. № 1445 «Об утверлсдении Положения о лицензировании деятельности по техническому обслуживанию медицинских изделий (за исключением случая, если техническое обслулсивание осуществляется для обеспечения собственных нулсд юридического лица или индивидуального предпринимателя, а таклсе случая технического обслуживания медицинских изделий с низкой степенью потенциального риска их применения)») (в редакции от 01.01.2022г.) включая следующие виды выполняемых работ и оказываемых услуг:</w:t>
      </w:r>
    </w:p>
    <w:p>
      <w:pPr>
        <w:pStyle w:val="Style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Техническое обслулсивание следующих групп медицинских изделий класса 26 потенциального риска применения:</w:t>
      </w:r>
    </w:p>
    <w:p>
      <w:pPr>
        <w:pStyle w:val="Style2"/>
        <w:keepNext w:val="0"/>
        <w:keepLines w:val="0"/>
        <w:widowControl w:val="0"/>
        <w:numPr>
          <w:ilvl w:val="0"/>
          <w:numId w:val="7"/>
        </w:numPr>
        <w:shd w:val="clear" w:color="auto" w:fill="auto"/>
        <w:tabs>
          <w:tab w:pos="295" w:val="left"/>
        </w:tabs>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радиологические медицинские изделия (в части рентгеновского оборудования для компьютерной томографии и ангиографии)</w:t>
      </w:r>
    </w:p>
    <w:p>
      <w:pPr>
        <w:pStyle w:val="Style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или</w:t>
      </w:r>
    </w:p>
    <w:p>
      <w:pPr>
        <w:pStyle w:val="Style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выписка из реестра лицензий или копия акта лицензирующего органа о принятом решении с указанием лицензируемого вида деятельности на осуществление деятельности по техническому обслуживанию медицинских изделий (за исключением случая, если техническое обслулсивание осуществляется для обеспечения собственных нулсд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 соответствии с Постановлением Правительства РФ от 30.11.2021 г. № 2129 «Об утверждении Положения о лицензировании деятельности по техническому обслулсиватпо медицинских изделий (за исключением случая, если техническое обслулсивание осуществляется для обеспечения собственных нулсд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 1445 и признании утратившими силу отдельных актов Правительства Российской Федерации») включая следующие виды выполняемых работ и оказываемых услуг:</w:t>
      </w:r>
    </w:p>
    <w:p>
      <w:pPr>
        <w:pStyle w:val="Style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Техническое обслулсивание групп медицинских изделий (кроме программного обеспечения, являющегося медицинским изделием) класса 26 потенциального риска применения</w:t>
      </w:r>
    </w:p>
    <w:p>
      <w:pPr>
        <w:pStyle w:val="Style2"/>
        <w:keepNext w:val="0"/>
        <w:keepLines w:val="0"/>
        <w:widowControl w:val="0"/>
        <w:numPr>
          <w:ilvl w:val="0"/>
          <w:numId w:val="7"/>
        </w:numPr>
        <w:shd w:val="clear" w:color="auto" w:fill="auto"/>
        <w:tabs>
          <w:tab w:pos="295" w:val="left"/>
        </w:tabs>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радиологические медицинские изделия (в части рентгеновского оборудования для компьютерной томографии и ангиографии)».</w:t>
      </w:r>
    </w:p>
    <w:p>
      <w:pPr>
        <w:pStyle w:val="Style2"/>
        <w:keepNext w:val="0"/>
        <w:keepLines w:val="0"/>
        <w:widowControl w:val="0"/>
        <w:shd w:val="clear" w:color="auto" w:fill="auto"/>
        <w:bidi w:val="0"/>
        <w:spacing w:before="0" w:after="0" w:line="240" w:lineRule="auto"/>
        <w:ind w:left="0" w:right="0" w:firstLine="46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07.12.2023 №ИЭА1 на участие в электронном аукционе подано 2 заявки.</w:t>
      </w:r>
    </w:p>
    <w:p>
      <w:pPr>
        <w:pStyle w:val="Style2"/>
        <w:keepNext w:val="0"/>
        <w:keepLines w:val="0"/>
        <w:widowControl w:val="0"/>
        <w:shd w:val="clear" w:color="auto" w:fill="auto"/>
        <w:bidi w:val="0"/>
        <w:spacing w:before="0" w:after="0" w:line="240" w:lineRule="auto"/>
        <w:ind w:left="0" w:right="0" w:firstLine="460"/>
        <w:jc w:val="both"/>
      </w:pPr>
      <w:r>
        <w:rPr>
          <w:color w:val="000000"/>
          <w:spacing w:val="0"/>
          <w:w w:val="100"/>
          <w:position w:val="0"/>
          <w:sz w:val="24"/>
          <w:szCs w:val="24"/>
          <w:shd w:val="clear" w:color="auto" w:fill="auto"/>
          <w:lang w:val="ru-RU" w:eastAsia="ru-RU" w:bidi="ru-RU"/>
        </w:rPr>
        <w:t>Заявка №189 соответствует требованиям, установленным в извещении об проведении электронного аукциона. Заявка №22 (Заявителя) отклонена.</w:t>
      </w:r>
    </w:p>
    <w:p>
      <w:pPr>
        <w:pStyle w:val="Style2"/>
        <w:keepNext w:val="0"/>
        <w:keepLines w:val="0"/>
        <w:widowControl w:val="0"/>
        <w:shd w:val="clear" w:color="auto" w:fill="auto"/>
        <w:bidi w:val="0"/>
        <w:spacing w:before="0" w:after="0" w:line="240" w:lineRule="auto"/>
        <w:ind w:left="0" w:right="0" w:firstLine="460"/>
        <w:jc w:val="both"/>
      </w:pPr>
      <w:r>
        <w:rPr>
          <w:color w:val="000000"/>
          <w:spacing w:val="0"/>
          <w:w w:val="100"/>
          <w:position w:val="0"/>
          <w:sz w:val="24"/>
          <w:szCs w:val="24"/>
          <w:shd w:val="clear" w:color="auto" w:fill="auto"/>
          <w:lang w:val="ru-RU" w:eastAsia="ru-RU" w:bidi="ru-RU"/>
        </w:rPr>
        <w:t>Заявка Заявителя отклонена по следующему основанию:</w:t>
      </w:r>
    </w:p>
    <w:p>
      <w:pPr>
        <w:pStyle w:val="Style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«В заявке участника отсутствуют (не представлены) документы, подтверждающие соответствие участника закупки требованиям, установленным пунктом 1 части 1 статьи 31 Федерального закона:</w:t>
      </w:r>
    </w:p>
    <w:p>
      <w:pPr>
        <w:pStyle w:val="Style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Выписка из реестра лицензий или копия акта лицензирующего органа о принятом решении с указанием лицензируемого вида деятельности на осуществление деятельности в области</w:t>
      </w:r>
    </w:p>
    <w:p>
      <w:pPr>
        <w:pStyle w:val="Style2"/>
        <w:keepNext w:val="0"/>
        <w:keepLines w:val="0"/>
        <w:widowControl w:val="0"/>
        <w:shd w:val="clear" w:color="auto" w:fill="auto"/>
        <w:bidi w:val="0"/>
        <w:spacing w:before="0" w:after="0" w:line="240" w:lineRule="auto"/>
        <w:ind w:left="0" w:right="0" w:firstLine="9720"/>
        <w:jc w:val="both"/>
      </w:pPr>
      <w:r>
        <w:rPr>
          <w:color w:val="000000"/>
          <w:spacing w:val="0"/>
          <w:w w:val="100"/>
          <w:position w:val="0"/>
          <w:sz w:val="24"/>
          <w:szCs w:val="24"/>
          <w:shd w:val="clear" w:color="auto" w:fill="auto"/>
          <w:lang w:val="ru-RU" w:eastAsia="ru-RU" w:bidi="ru-RU"/>
        </w:rPr>
        <w:t xml:space="preserve">5 </w:t>
      </w:r>
      <w:r>
        <w:rPr>
          <w:i/>
          <w:iCs/>
          <w:color w:val="000000"/>
          <w:spacing w:val="0"/>
          <w:w w:val="100"/>
          <w:position w:val="0"/>
          <w:sz w:val="24"/>
          <w:szCs w:val="24"/>
          <w:shd w:val="clear" w:color="auto" w:fill="auto"/>
          <w:lang w:val="ru-RU" w:eastAsia="ru-RU" w:bidi="ru-RU"/>
        </w:rPr>
        <w:t>использования источников ионизирующего излучения (генерирующих) (за исключением случая, если эти источники используются в медицинской деятельности) (в соответствии с Постановлением Правительства РФ от 02.04.2012 г. № 278 «О лицензировании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включая следующие виды выполняемых работ и оказываемых услуг:</w:t>
      </w:r>
    </w:p>
    <w:p>
      <w:pPr>
        <w:pStyle w:val="Style2"/>
        <w:keepNext w:val="0"/>
        <w:keepLines w:val="0"/>
        <w:widowControl w:val="0"/>
        <w:numPr>
          <w:ilvl w:val="0"/>
          <w:numId w:val="7"/>
        </w:numPr>
        <w:shd w:val="clear" w:color="auto" w:fill="auto"/>
        <w:tabs>
          <w:tab w:pos="295" w:val="left"/>
        </w:tabs>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Техническое обслуживание источников ионизирующего излучения (генерирующих), или</w:t>
      </w:r>
    </w:p>
    <w:p>
      <w:pPr>
        <w:pStyle w:val="Style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выписка из реестра лицензий или копия акта лицензирующего органа о принятом решении с указанием лицензируемого вида деятельности на осуществление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(в соответствии с Постановлением Правительства РФ от 25.01.2022 г. № 45 «О лицензировании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включая следующие виды выполняемых работ и оказываемых услуг:</w:t>
      </w:r>
    </w:p>
    <w:p>
      <w:pPr>
        <w:pStyle w:val="Style2"/>
        <w:keepNext w:val="0"/>
        <w:keepLines w:val="0"/>
        <w:widowControl w:val="0"/>
        <w:numPr>
          <w:ilvl w:val="0"/>
          <w:numId w:val="7"/>
        </w:numPr>
        <w:shd w:val="clear" w:color="auto" w:fill="auto"/>
        <w:tabs>
          <w:tab w:pos="295" w:val="left"/>
        </w:tabs>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Техническое обслуживание источников ионизирующего излучения (генерирующих).».</w:t>
      </w:r>
    </w:p>
    <w:p>
      <w:pPr>
        <w:pStyle w:val="Style2"/>
        <w:keepNext w:val="0"/>
        <w:keepLines w:val="0"/>
        <w:widowControl w:val="0"/>
        <w:shd w:val="clear" w:color="auto" w:fill="auto"/>
        <w:bidi w:val="0"/>
        <w:spacing w:before="0" w:after="0" w:line="240" w:lineRule="auto"/>
        <w:ind w:left="0" w:right="0" w:firstLine="460"/>
        <w:jc w:val="both"/>
      </w:pPr>
      <w:r>
        <w:rPr>
          <w:color w:val="000000"/>
          <w:spacing w:val="0"/>
          <w:w w:val="100"/>
          <w:position w:val="0"/>
          <w:sz w:val="24"/>
          <w:szCs w:val="24"/>
          <w:shd w:val="clear" w:color="auto" w:fill="auto"/>
          <w:lang w:val="ru-RU" w:eastAsia="ru-RU" w:bidi="ru-RU"/>
        </w:rPr>
        <w:t>В силу п. 2 ст. 3 Федерального закона от 04.05.2011 № 99-ФЗ «О лицензировании отдельных видов деятельности» (далее — Закон № 99-ФЗ) лицензия - специальное разрешение на право осуществления юридическим лицом или индивидуальным предпринимателем конкретного вида деятельности (выполнения работ, оказания услуг, составляющих лицензируемый вид деятельности), которое подтверждается записью в реестре лицензий.</w:t>
      </w:r>
    </w:p>
    <w:p>
      <w:pPr>
        <w:pStyle w:val="Style2"/>
        <w:keepNext w:val="0"/>
        <w:keepLines w:val="0"/>
        <w:widowControl w:val="0"/>
        <w:shd w:val="clear" w:color="auto" w:fill="auto"/>
        <w:bidi w:val="0"/>
        <w:spacing w:before="0" w:after="0" w:line="240" w:lineRule="auto"/>
        <w:ind w:left="0" w:right="0" w:firstLine="460"/>
        <w:jc w:val="both"/>
      </w:pPr>
      <w:r>
        <w:rPr>
          <w:color w:val="000000"/>
          <w:spacing w:val="0"/>
          <w:w w:val="100"/>
          <w:position w:val="0"/>
          <w:sz w:val="24"/>
          <w:szCs w:val="24"/>
          <w:shd w:val="clear" w:color="auto" w:fill="auto"/>
          <w:lang w:val="ru-RU" w:eastAsia="ru-RU" w:bidi="ru-RU"/>
        </w:rPr>
        <w:t>Техническое обслуживание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подлежит лицензированию в соответствии с п.17 ч,1 ст. 12 Закона №99-ФЗ.</w:t>
      </w:r>
    </w:p>
    <w:p>
      <w:pPr>
        <w:pStyle w:val="Style2"/>
        <w:keepNext w:val="0"/>
        <w:keepLines w:val="0"/>
        <w:widowControl w:val="0"/>
        <w:shd w:val="clear" w:color="auto" w:fill="auto"/>
        <w:bidi w:val="0"/>
        <w:spacing w:before="0" w:after="0" w:line="240" w:lineRule="auto"/>
        <w:ind w:left="0" w:right="0" w:firstLine="460"/>
        <w:jc w:val="both"/>
      </w:pPr>
      <w:r>
        <w:rPr>
          <w:color w:val="000000"/>
          <w:spacing w:val="0"/>
          <w:w w:val="100"/>
          <w:position w:val="0"/>
          <w:sz w:val="24"/>
          <w:szCs w:val="24"/>
          <w:shd w:val="clear" w:color="auto" w:fill="auto"/>
          <w:lang w:val="ru-RU" w:eastAsia="ru-RU" w:bidi="ru-RU"/>
        </w:rPr>
        <w:t>Деятельность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подлежит лицензированию в соответствии с п.39 ч.1 ст. 12 Закона №99-ФЗ.</w:t>
      </w:r>
    </w:p>
    <w:p>
      <w:pPr>
        <w:pStyle w:val="Style2"/>
        <w:keepNext w:val="0"/>
        <w:keepLines w:val="0"/>
        <w:widowControl w:val="0"/>
        <w:shd w:val="clear" w:color="auto" w:fill="auto"/>
        <w:bidi w:val="0"/>
        <w:spacing w:before="0" w:after="0" w:line="240" w:lineRule="auto"/>
        <w:ind w:left="0" w:right="0" w:firstLine="460"/>
        <w:jc w:val="both"/>
      </w:pPr>
      <w:r>
        <w:rPr>
          <w:color w:val="000000"/>
          <w:spacing w:val="0"/>
          <w:w w:val="100"/>
          <w:position w:val="0"/>
          <w:sz w:val="24"/>
          <w:szCs w:val="24"/>
          <w:shd w:val="clear" w:color="auto" w:fill="auto"/>
          <w:lang w:val="ru-RU" w:eastAsia="ru-RU" w:bidi="ru-RU"/>
        </w:rPr>
        <w:t>В соответствии с положениями ч. 2 ст. 13 Федерального закона от 27.12.2019 № 478-ФЗ «О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 (далее - Закон № 478-ФЗ) записи в реестрах лицензий, внесенные до дня вступления в силу Закона № 478-ФЗ, подлежат приведению в соответствие с законодательными актами Российской Федерации, измененными указанным законом, до 01.01.2022. Следовательно, после 01.01.2022 сведения обо всех, в том числе ранее выданных лицензиях, должны быть включены в реестр лицензий.</w:t>
      </w:r>
    </w:p>
    <w:p>
      <w:pPr>
        <w:pStyle w:val="Style2"/>
        <w:keepNext w:val="0"/>
        <w:keepLines w:val="0"/>
        <w:widowControl w:val="0"/>
        <w:shd w:val="clear" w:color="auto" w:fill="auto"/>
        <w:bidi w:val="0"/>
        <w:spacing w:before="0" w:after="0" w:line="240" w:lineRule="auto"/>
        <w:ind w:left="0" w:right="0" w:firstLine="460"/>
        <w:jc w:val="both"/>
      </w:pPr>
      <w:r>
        <w:rPr>
          <w:color w:val="000000"/>
          <w:spacing w:val="0"/>
          <w:w w:val="100"/>
          <w:position w:val="0"/>
          <w:sz w:val="24"/>
          <w:szCs w:val="24"/>
          <w:shd w:val="clear" w:color="auto" w:fill="auto"/>
          <w:lang w:val="ru-RU" w:eastAsia="ru-RU" w:bidi="ru-RU"/>
        </w:rPr>
        <w:t>Форма выписки из реестра лицензий, а также порядок предоставления сведений о конкретной лицензии утверждены Постановлением Правительства РФ от 29.12.2020 № 2343 «Об утверждении Правил формирования и ведения реестра лицензий и типовой формы выписки из реестра лицензий».</w:t>
      </w:r>
    </w:p>
    <w:p>
      <w:pPr>
        <w:pStyle w:val="Style2"/>
        <w:keepNext w:val="0"/>
        <w:keepLines w:val="0"/>
        <w:widowControl w:val="0"/>
        <w:shd w:val="clear" w:color="auto" w:fill="auto"/>
        <w:bidi w:val="0"/>
        <w:spacing w:before="0" w:after="0" w:line="240" w:lineRule="auto"/>
        <w:ind w:left="0" w:right="0" w:firstLine="460"/>
        <w:jc w:val="both"/>
      </w:pPr>
      <w:r>
        <w:rPr>
          <w:color w:val="000000"/>
          <w:spacing w:val="0"/>
          <w:w w:val="100"/>
          <w:position w:val="0"/>
          <w:sz w:val="24"/>
          <w:szCs w:val="24"/>
          <w:shd w:val="clear" w:color="auto" w:fill="auto"/>
          <w:lang w:val="ru-RU" w:eastAsia="ru-RU" w:bidi="ru-RU"/>
        </w:rPr>
        <w:t>Согласно ч. 9 ст. 21 Закона №99-ФЗ, выписка из реестра лицензий содержит сведения, предусмотренные пунктами 1 - 8 ч. 2 настоящей статьи, а также сведения о дате формирования выписки.</w:t>
      </w:r>
    </w:p>
    <w:p>
      <w:pPr>
        <w:pStyle w:val="Style2"/>
        <w:keepNext w:val="0"/>
        <w:keepLines w:val="0"/>
        <w:widowControl w:val="0"/>
        <w:shd w:val="clear" w:color="auto" w:fill="auto"/>
        <w:bidi w:val="0"/>
        <w:spacing w:before="0" w:after="0" w:line="240" w:lineRule="auto"/>
        <w:ind w:left="0" w:right="0" w:firstLine="460"/>
        <w:jc w:val="both"/>
      </w:pPr>
      <w:r>
        <w:rPr>
          <w:color w:val="000000"/>
          <w:spacing w:val="0"/>
          <w:w w:val="100"/>
          <w:position w:val="0"/>
          <w:sz w:val="24"/>
          <w:szCs w:val="24"/>
          <w:shd w:val="clear" w:color="auto" w:fill="auto"/>
          <w:lang w:val="ru-RU" w:eastAsia="ru-RU" w:bidi="ru-RU"/>
        </w:rPr>
        <w:t>Выписка из реестра лицензий дополнительно может содержать иные сведения. На выписку из реестра лицензий должен быть нанесен двухмерный штриховой код, содержащий в кодированном виде адрес страницы в информационно-телекоммуникационной сети «Интернет» с размещенными на ней записями в реестре лицензий, содержащими сведения о предоставленной лицензии. В случае, если выписка из реестра лицензий содержит сведения, свободный доступ к которым ограничен в соответствии с законодательством Российской Федерации, выписка предоставляется исключительно лицу, имеющему доступ к таким сведениям. При этом может быть реализована возможность подтверждения актуальности представленной в выписке информации путем перехода по двухмерному</w:t>
        <w:br w:type="page"/>
      </w:r>
      <w:r>
        <w:rPr>
          <w:color w:val="000000"/>
          <w:spacing w:val="0"/>
          <w:w w:val="100"/>
          <w:position w:val="0"/>
          <w:sz w:val="24"/>
          <w:szCs w:val="24"/>
          <w:shd w:val="clear" w:color="auto" w:fill="auto"/>
          <w:lang w:val="ru-RU" w:eastAsia="ru-RU" w:bidi="ru-RU"/>
        </w:rPr>
        <w:t>штриховому коду на адрес страницы в информационно-телекоммуникационной сети «Интернет» без непосредственной публикации указанной информации. В выписке из реестра лицензий указываются персональные данные лицензиата в случае, если указанная выписка запрашивается непосредственно таким лицензиатом.</w:t>
      </w:r>
    </w:p>
    <w:p>
      <w:pPr>
        <w:pStyle w:val="Style2"/>
        <w:keepNext w:val="0"/>
        <w:keepLines w:val="0"/>
        <w:widowControl w:val="0"/>
        <w:shd w:val="clear" w:color="auto" w:fill="auto"/>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Данная позиция подтверждена письмами ФАС России от 14.06.2023 №ДФ/46829/23, Министерства экономического развития Российской Федерации от 23.04.2021 №Д24и-12191.</w:t>
      </w:r>
    </w:p>
    <w:p>
      <w:pPr>
        <w:pStyle w:val="Style2"/>
        <w:keepNext w:val="0"/>
        <w:keepLines w:val="0"/>
        <w:widowControl w:val="0"/>
        <w:shd w:val="clear" w:color="auto" w:fill="auto"/>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Как установлено Комиссией УФАС, Заявителем для подтверждения требованиям, установленным в извещении об осуществлении закупки в соответствии с ч. 1 ст. 31 Закона №44-ФЗ, в составе заявки представлены следующие документы:</w:t>
      </w:r>
    </w:p>
    <w:p>
      <w:pPr>
        <w:pStyle w:val="Style2"/>
        <w:keepNext w:val="0"/>
        <w:keepLines w:val="0"/>
        <w:widowControl w:val="0"/>
        <w:numPr>
          <w:ilvl w:val="0"/>
          <w:numId w:val="9"/>
        </w:numPr>
        <w:shd w:val="clear" w:color="auto" w:fill="auto"/>
        <w:tabs>
          <w:tab w:pos="630" w:val="left"/>
        </w:tabs>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Выписка из реестра лицензий по состоянию на 12:34 20.09.2023 г. (сформирована на интернет-портале Росздравнадзора) в отношении лицензии Л016-00110-77/00564876 на техническое обслуживание медицинских изделий;</w:t>
      </w:r>
    </w:p>
    <w:p>
      <w:pPr>
        <w:pStyle w:val="Style2"/>
        <w:keepNext w:val="0"/>
        <w:keepLines w:val="0"/>
        <w:widowControl w:val="0"/>
        <w:numPr>
          <w:ilvl w:val="0"/>
          <w:numId w:val="9"/>
        </w:numPr>
        <w:shd w:val="clear" w:color="auto" w:fill="auto"/>
        <w:tabs>
          <w:tab w:pos="626" w:val="left"/>
        </w:tabs>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Скан-копия лицензии на осуществление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w:t>
      </w:r>
    </w:p>
    <w:p>
      <w:pPr>
        <w:pStyle w:val="Style2"/>
        <w:keepNext w:val="0"/>
        <w:keepLines w:val="0"/>
        <w:widowControl w:val="0"/>
        <w:numPr>
          <w:ilvl w:val="0"/>
          <w:numId w:val="9"/>
        </w:numPr>
        <w:shd w:val="clear" w:color="auto" w:fill="auto"/>
        <w:tabs>
          <w:tab w:pos="626" w:val="left"/>
        </w:tabs>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 xml:space="preserve">Скриншот с наименованием «Выписка из реестра лицензий </w:t>
      </w:r>
      <w:r>
        <w:rPr>
          <w:i/>
          <w:iCs/>
          <w:color w:val="000000"/>
          <w:spacing w:val="0"/>
          <w:w w:val="100"/>
          <w:position w:val="0"/>
          <w:sz w:val="24"/>
          <w:szCs w:val="24"/>
          <w:shd w:val="clear" w:color="auto" w:fill="auto"/>
          <w:lang w:val="ru-RU" w:eastAsia="ru-RU" w:bidi="ru-RU"/>
        </w:rPr>
        <w:t>ИИИ»</w:t>
      </w:r>
      <w:r>
        <w:rPr>
          <w:color w:val="000000"/>
          <w:spacing w:val="0"/>
          <w:w w:val="100"/>
          <w:position w:val="0"/>
          <w:sz w:val="24"/>
          <w:szCs w:val="24"/>
          <w:shd w:val="clear" w:color="auto" w:fill="auto"/>
          <w:lang w:val="ru-RU" w:eastAsia="ru-RU" w:bidi="ru-RU"/>
        </w:rPr>
        <w:t xml:space="preserve"> в формате ]р§ (растровый графический формат изображений и фотографий). Данный скриншот не соответствует форме выписки из реестра лицензий;</w:t>
      </w:r>
    </w:p>
    <w:p>
      <w:pPr>
        <w:pStyle w:val="Style2"/>
        <w:keepNext w:val="0"/>
        <w:keepLines w:val="0"/>
        <w:widowControl w:val="0"/>
        <w:numPr>
          <w:ilvl w:val="0"/>
          <w:numId w:val="9"/>
        </w:numPr>
        <w:shd w:val="clear" w:color="auto" w:fill="auto"/>
        <w:tabs>
          <w:tab w:pos="630" w:val="left"/>
        </w:tabs>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Скан-копия лицензии на осуществление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включая вид работ - техническое обслуживание источников ионизирующего излучения (генерирующих).</w:t>
      </w:r>
    </w:p>
    <w:p>
      <w:pPr>
        <w:pStyle w:val="Style2"/>
        <w:keepNext w:val="0"/>
        <w:keepLines w:val="0"/>
        <w:widowControl w:val="0"/>
        <w:shd w:val="clear" w:color="auto" w:fill="auto"/>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Ни в извещении, ни в требованиях к содержанию, составу заявки на участие в закупке и инструкции по ее заполнению не содержится требование о представлении копии бумажной лицензии.</w:t>
      </w:r>
    </w:p>
    <w:p>
      <w:pPr>
        <w:pStyle w:val="Style2"/>
        <w:keepNext w:val="0"/>
        <w:keepLines w:val="0"/>
        <w:widowControl w:val="0"/>
        <w:shd w:val="clear" w:color="auto" w:fill="auto"/>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Таким образом, действия комиссии по отклонению заявки Заявителя являются правомерными.</w:t>
      </w:r>
    </w:p>
    <w:p>
      <w:pPr>
        <w:pStyle w:val="Style2"/>
        <w:keepNext w:val="0"/>
        <w:keepLines w:val="0"/>
        <w:widowControl w:val="0"/>
        <w:shd w:val="clear" w:color="auto" w:fill="auto"/>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Довод заявителя признан необоснованным.</w:t>
      </w:r>
    </w:p>
    <w:p>
      <w:pPr>
        <w:pStyle w:val="Style2"/>
        <w:keepNext w:val="0"/>
        <w:keepLines w:val="0"/>
        <w:widowControl w:val="0"/>
        <w:shd w:val="clear" w:color="auto" w:fill="auto"/>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В соответствии с п. 1 ч. 15 ст. 99 Закона о контрактной системе Комиссия УФАС провела внеплановую проверку, по результатам которой при проведении аукциона нарушения не выявлены.</w:t>
      </w:r>
    </w:p>
    <w:p>
      <w:pPr>
        <w:pStyle w:val="Style2"/>
        <w:keepNext w:val="0"/>
        <w:keepLines w:val="0"/>
        <w:widowControl w:val="0"/>
        <w:shd w:val="clear" w:color="auto" w:fill="auto"/>
        <w:bidi w:val="0"/>
        <w:spacing w:before="0" w:after="240" w:line="240" w:lineRule="auto"/>
        <w:ind w:left="0" w:right="0" w:firstLine="440"/>
        <w:jc w:val="both"/>
      </w:pPr>
      <w:r>
        <w:rPr>
          <w:color w:val="000000"/>
          <w:spacing w:val="0"/>
          <w:w w:val="100"/>
          <w:position w:val="0"/>
          <w:sz w:val="24"/>
          <w:szCs w:val="24"/>
          <w:shd w:val="clear" w:color="auto" w:fill="auto"/>
          <w:lang w:val="ru-RU" w:eastAsia="ru-RU" w:bidi="ru-RU"/>
        </w:rPr>
        <w:t>На основании вышеизложенного. Комиссия УФАС, руководствуясь ст. 99, ст. 106 Закона о контрактной системе,</w:t>
      </w:r>
    </w:p>
    <w:p>
      <w:pPr>
        <w:pStyle w:val="Style5"/>
        <w:keepNext/>
        <w:keepLines/>
        <w:widowControl w:val="0"/>
        <w:shd w:val="clear" w:color="auto" w:fill="auto"/>
        <w:bidi w:val="0"/>
        <w:spacing w:before="0" w:after="240" w:line="240" w:lineRule="auto"/>
        <w:ind w:left="0" w:right="0" w:firstLine="0"/>
        <w:jc w:val="center"/>
      </w:pPr>
      <w:bookmarkStart w:id="20" w:name="bookmark20"/>
      <w:r>
        <w:rPr>
          <w:color w:val="000000"/>
          <w:spacing w:val="0"/>
          <w:w w:val="100"/>
          <w:position w:val="0"/>
          <w:sz w:val="24"/>
          <w:szCs w:val="24"/>
          <w:shd w:val="clear" w:color="auto" w:fill="auto"/>
          <w:lang w:val="ru-RU" w:eastAsia="ru-RU" w:bidi="ru-RU"/>
        </w:rPr>
        <w:t>РЕШИЛА:</w:t>
      </w:r>
      <w:bookmarkEnd w:id="20"/>
    </w:p>
    <w:p>
      <w:pPr>
        <w:pStyle w:val="Style2"/>
        <w:keepNext w:val="0"/>
        <w:keepLines w:val="0"/>
        <w:widowControl w:val="0"/>
        <w:shd w:val="clear" w:color="auto" w:fill="auto"/>
        <w:bidi w:val="0"/>
        <w:spacing w:before="0" w:after="0" w:line="240" w:lineRule="auto"/>
        <w:ind w:left="0" w:right="0" w:firstLine="420"/>
        <w:jc w:val="both"/>
      </w:pPr>
      <w:r>
        <w:rPr>
          <w:color w:val="000000"/>
          <w:spacing w:val="0"/>
          <w:w w:val="100"/>
          <w:position w:val="0"/>
          <w:sz w:val="24"/>
          <w:szCs w:val="24"/>
          <w:shd w:val="clear" w:color="auto" w:fill="auto"/>
          <w:lang w:val="ru-RU" w:eastAsia="ru-RU" w:bidi="ru-RU"/>
        </w:rPr>
        <w:t>1. Признать жалобу ООО «АРГУС-ЦС» необоснованной.</w:t>
      </w:r>
    </w:p>
    <w:p>
      <w:pPr>
        <w:pStyle w:val="Style2"/>
        <w:keepNext w:val="0"/>
        <w:keepLines w:val="0"/>
        <w:widowControl w:val="0"/>
        <w:shd w:val="clear" w:color="auto" w:fill="auto"/>
        <w:bidi w:val="0"/>
        <w:spacing w:before="0" w:after="300" w:line="240" w:lineRule="auto"/>
        <w:ind w:left="780" w:right="0" w:hanging="340"/>
        <w:jc w:val="both"/>
      </w:pPr>
      <w:r>
        <w:rPr>
          <w:color w:val="000000"/>
          <w:spacing w:val="0"/>
          <w:w w:val="100"/>
          <w:position w:val="0"/>
          <w:sz w:val="24"/>
          <w:szCs w:val="24"/>
          <w:shd w:val="clear" w:color="auto" w:fill="auto"/>
          <w:lang w:val="ru-RU" w:eastAsia="ru-RU" w:bidi="ru-RU"/>
        </w:rPr>
        <w:t>2. Требование о приостановлении определения поставщика (подрядчика, исполнителя) в части подписания контракта, установленное Управлением на основании ч. 7 ст. 106 Закона о контрактной системе, отменить.</w:t>
      </w:r>
    </w:p>
    <w:p>
      <w:pPr>
        <w:pStyle w:val="Style2"/>
        <w:keepNext w:val="0"/>
        <w:keepLines w:val="0"/>
        <w:widowControl w:val="0"/>
        <w:shd w:val="clear" w:color="auto" w:fill="auto"/>
        <w:bidi w:val="0"/>
        <w:spacing w:before="0" w:after="240" w:line="223" w:lineRule="auto"/>
        <w:ind w:left="0" w:right="0" w:firstLine="440"/>
        <w:jc w:val="both"/>
      </w:pPr>
      <w:r>
        <w:rPr>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2"/>
        <w:keepNext w:val="0"/>
        <w:keepLines w:val="0"/>
        <w:widowControl w:val="0"/>
        <w:shd w:val="clear" w:color="auto" w:fill="auto"/>
        <w:bidi w:val="0"/>
        <w:spacing w:before="0" w:after="240" w:line="240" w:lineRule="auto"/>
        <w:ind w:left="0" w:right="0" w:firstLine="440"/>
        <w:jc w:val="both"/>
      </w:pPr>
      <w:r>
        <w:rPr>
          <w:color w:val="000000"/>
          <w:spacing w:val="0"/>
          <w:w w:val="100"/>
          <w:position w:val="0"/>
          <w:sz w:val="24"/>
          <w:szCs w:val="24"/>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300" w:line="240" w:lineRule="auto"/>
        <w:ind w:left="0" w:right="0" w:firstLine="440"/>
        <w:jc w:val="both"/>
      </w:pPr>
      <w:r>
        <w:rPr>
          <w:color w:val="000000"/>
          <w:spacing w:val="0"/>
          <w:w w:val="100"/>
          <w:position w:val="0"/>
          <w:sz w:val="24"/>
          <w:szCs w:val="24"/>
          <w:shd w:val="clear" w:color="auto" w:fill="auto"/>
          <w:lang w:val="ru-RU" w:eastAsia="ru-RU" w:bidi="ru-RU"/>
        </w:rPr>
        <w:t>Члены комиссии:</w:t>
      </w:r>
    </w:p>
    <w:p>
      <w:pPr>
        <w:pStyle w:val="Style2"/>
        <w:keepNext w:val="0"/>
        <w:keepLines w:val="0"/>
        <w:widowControl w:val="0"/>
        <w:shd w:val="clear" w:color="auto" w:fill="auto"/>
        <w:bidi w:val="0"/>
        <w:spacing w:before="0" w:after="120" w:line="240" w:lineRule="auto"/>
        <w:ind w:left="6880" w:right="0" w:firstLine="0"/>
        <w:jc w:val="left"/>
      </w:pPr>
      <w:r>
        <mc:AlternateContent>
          <mc:Choice Requires="wps">
            <w:drawing>
              <wp:anchor distT="0" distB="342900" distL="114300" distR="114300" simplePos="0" relativeHeight="125829378" behindDoc="0" locked="0" layoutInCell="1" allowOverlap="1">
                <wp:simplePos x="0" y="0"/>
                <wp:positionH relativeFrom="page">
                  <wp:posOffset>5071745</wp:posOffset>
                </wp:positionH>
                <wp:positionV relativeFrom="margin">
                  <wp:posOffset>8277860</wp:posOffset>
                </wp:positionV>
                <wp:extent cx="1321435" cy="191770"/>
                <wp:wrapSquare wrapText="left"/>
                <wp:docPr id="2" name="Shape 2"/>
                <a:graphic xmlns:a="http://schemas.openxmlformats.org/drawingml/2006/main">
                  <a:graphicData uri="http://schemas.microsoft.com/office/word/2010/wordprocessingShape">
                    <wps:wsp>
                      <wps:cNvSpPr txBox="1"/>
                      <wps:spPr>
                        <a:xfrm>
                          <a:ext cx="1321435" cy="1917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Е.Н. Предтеченская</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99.35000000000002pt;margin-top:651.80000000000007pt;width:104.05pt;height:15.1pt;z-index:-125829375;mso-wrap-distance-left:9.pt;mso-wrap-distance-right:9.pt;mso-wrap-distance-bottom:27.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Е.Н. Предтеченская</w:t>
                      </w:r>
                    </w:p>
                  </w:txbxContent>
                </v:textbox>
                <w10:wrap type="square" side="left" anchorx="page" anchory="margin"/>
              </v:shape>
            </w:pict>
          </mc:Fallback>
        </mc:AlternateContent>
      </w:r>
      <w:r>
        <mc:AlternateContent>
          <mc:Choice Requires="wps">
            <w:drawing>
              <wp:anchor distT="342900" distB="0" distL="114300" distR="539750" simplePos="0" relativeHeight="125829380" behindDoc="0" locked="0" layoutInCell="1" allowOverlap="1">
                <wp:simplePos x="0" y="0"/>
                <wp:positionH relativeFrom="page">
                  <wp:posOffset>5071745</wp:posOffset>
                </wp:positionH>
                <wp:positionV relativeFrom="margin">
                  <wp:posOffset>8620760</wp:posOffset>
                </wp:positionV>
                <wp:extent cx="895985" cy="191770"/>
                <wp:wrapSquare wrapText="left"/>
                <wp:docPr id="4" name="Shape 4"/>
                <a:graphic xmlns:a="http://schemas.openxmlformats.org/drawingml/2006/main">
                  <a:graphicData uri="http://schemas.microsoft.com/office/word/2010/wordprocessingShape">
                    <wps:wsp>
                      <wps:cNvSpPr txBox="1"/>
                      <wps:spPr>
                        <a:xfrm>
                          <a:ext cx="895985" cy="1917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А.А. Егорова</w:t>
                            </w:r>
                          </w:p>
                        </w:txbxContent>
                      </wps:txbx>
                      <wps:bodyPr wrap="none" lIns="0" tIns="0" rIns="0" bIns="0">
                        <a:noAutoFit/>
                      </wps:bodyPr>
                    </wps:wsp>
                  </a:graphicData>
                </a:graphic>
              </wp:anchor>
            </w:drawing>
          </mc:Choice>
          <mc:Fallback>
            <w:pict>
              <v:shape id="_x0000_s1030" type="#_x0000_t202" style="position:absolute;margin-left:399.35000000000002pt;margin-top:678.80000000000007pt;width:70.549999999999997pt;height:15.1pt;z-index:-125829373;mso-wrap-distance-left:9.pt;mso-wrap-distance-top:27.pt;mso-wrap-distance-right:42.5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А.А. Егорова</w:t>
                      </w:r>
                    </w:p>
                  </w:txbxContent>
                </v:textbox>
                <w10:wrap type="square" side="left" anchorx="page" anchory="margin"/>
              </v:shape>
            </w:pict>
          </mc:Fallback>
        </mc:AlternateContent>
      </w:r>
      <w:r>
        <w:drawing>
          <wp:anchor distT="0" distB="0" distL="0" distR="0" simplePos="0" relativeHeight="62914690" behindDoc="1" locked="0" layoutInCell="1" allowOverlap="1">
            <wp:simplePos x="0" y="0"/>
            <wp:positionH relativeFrom="margin">
              <wp:posOffset>2802890</wp:posOffset>
            </wp:positionH>
            <wp:positionV relativeFrom="margin">
              <wp:posOffset>7783830</wp:posOffset>
            </wp:positionV>
            <wp:extent cx="1987550" cy="1670050"/>
            <wp:wrapNone/>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7"/>
                    <a:stretch/>
                  </pic:blipFill>
                  <pic:spPr>
                    <a:xfrm>
                      <a:ext cx="1987550" cy="1670050"/>
                    </a:xfrm>
                    <a:prstGeom prst="rect"/>
                  </pic:spPr>
                </pic:pic>
              </a:graphicData>
            </a:graphic>
          </wp:anchor>
        </w:drawing>
      </w:r>
      <w:r>
        <w:rPr>
          <w:color w:val="000000"/>
          <w:spacing w:val="0"/>
          <w:w w:val="100"/>
          <w:position w:val="0"/>
          <w:sz w:val="24"/>
          <w:szCs w:val="24"/>
          <w:shd w:val="clear" w:color="auto" w:fill="auto"/>
          <w:lang w:val="ru-RU" w:eastAsia="ru-RU" w:bidi="ru-RU"/>
        </w:rPr>
        <w:t>Ю.Н. Кузнецова</w:t>
      </w:r>
    </w:p>
    <w:sectPr>
      <w:footnotePr>
        <w:pos w:val="pageBottom"/>
        <w:numFmt w:val="decimal"/>
        <w:numRestart w:val="continuous"/>
      </w:footnotePr>
      <w:pgSz w:w="11900" w:h="16840"/>
      <w:pgMar w:top="718" w:right="925" w:bottom="758" w:left="1060" w:header="290" w:footer="330" w:gutter="0"/>
      <w:pgNumType w:start="1"/>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lvl w:ilvl="1">
      <w:start w:val="1"/>
      <w:numFmt w:val="decimal"/>
      <w:lvlText w:val="%1.%2."/>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Заголовок №2_"/>
    <w:basedOn w:val="DefaultParagraphFont"/>
    <w:link w:val="Style5"/>
    <w:rPr>
      <w:rFonts w:ascii="Times New Roman" w:eastAsia="Times New Roman" w:hAnsi="Times New Roman" w:cs="Times New Roman"/>
      <w:b/>
      <w:bCs/>
      <w:i w:val="0"/>
      <w:iCs w:val="0"/>
      <w:smallCaps w:val="0"/>
      <w:strike w:val="0"/>
      <w:u w:val="none"/>
    </w:rPr>
  </w:style>
  <w:style w:type="character" w:customStyle="1" w:styleId="CharStyle9">
    <w:name w:val="Заголовок №1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Основной текст"/>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5">
    <w:name w:val="Заголовок №2"/>
    <w:basedOn w:val="Normal"/>
    <w:link w:val="CharStyle6"/>
    <w:pPr>
      <w:widowControl w:val="0"/>
      <w:shd w:val="clear" w:color="auto" w:fill="auto"/>
      <w:spacing w:after="200"/>
      <w:jc w:val="center"/>
      <w:outlineLvl w:val="1"/>
    </w:pPr>
    <w:rPr>
      <w:rFonts w:ascii="Times New Roman" w:eastAsia="Times New Roman" w:hAnsi="Times New Roman" w:cs="Times New Roman"/>
      <w:b/>
      <w:bCs/>
      <w:i w:val="0"/>
      <w:iCs w:val="0"/>
      <w:smallCaps w:val="0"/>
      <w:strike w:val="0"/>
      <w:u w:val="none"/>
    </w:rPr>
  </w:style>
  <w:style w:type="paragraph" w:customStyle="1" w:styleId="Style8">
    <w:name w:val="Заголовок №1"/>
    <w:basedOn w:val="Normal"/>
    <w:link w:val="CharStyle9"/>
    <w:pPr>
      <w:widowControl w:val="0"/>
      <w:shd w:val="clear" w:color="auto" w:fill="auto"/>
      <w:spacing w:after="200"/>
      <w:outlineLvl w:val="0"/>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s>
</file>