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12700</wp:posOffset>
            </wp:positionV>
            <wp:extent cx="2736850" cy="331025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736850" cy="331025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1574165</wp:posOffset>
                </wp:positionH>
                <wp:positionV relativeFrom="paragraph">
                  <wp:posOffset>732155</wp:posOffset>
                </wp:positionV>
                <wp:extent cx="895985" cy="140335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4460A2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23.95pt;margin-top:57.649999999999999pt;width:70.549999999999997pt;height:11.0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4460A2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1122680</wp:posOffset>
                </wp:positionH>
                <wp:positionV relativeFrom="paragraph">
                  <wp:posOffset>881380</wp:posOffset>
                </wp:positionV>
                <wp:extent cx="1840865" cy="13716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086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4460A2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88.400000000000006pt;margin-top:69.400000000000006pt;width:144.95000000000002pt;height:10.8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4460A2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1056005</wp:posOffset>
                </wp:positionH>
                <wp:positionV relativeFrom="paragraph">
                  <wp:posOffset>1670685</wp:posOffset>
                </wp:positionV>
                <wp:extent cx="1978025" cy="13398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7802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460A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ул. Барнаульская 4, г. Калининград, 236006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3.150000000000006pt;margin-top:131.55000000000001pt;width:155.75pt;height:10.55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4460A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ул. Барнаульская 4, г. Калининград, 236006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1750695</wp:posOffset>
                </wp:positionH>
                <wp:positionV relativeFrom="paragraph">
                  <wp:posOffset>1795780</wp:posOffset>
                </wp:positionV>
                <wp:extent cx="585470" cy="12827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547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460A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бокс № 5033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37.84999999999999pt;margin-top:141.40000000000001pt;width:46.100000000000001pt;height:10.1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4460A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бокс № 5033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1092200</wp:posOffset>
                </wp:positionH>
                <wp:positionV relativeFrom="paragraph">
                  <wp:posOffset>1939290</wp:posOffset>
                </wp:positionV>
                <wp:extent cx="1896110" cy="13398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460A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тел. (4012) 53-72-01, факс (4012) 53-72-00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86.pt;margin-top:152.70000000000002pt;width:149.30000000000001pt;height:10.550000000000001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4460A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тел. (4012) 53-72-01, факс (4012) 53-72-00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1513205</wp:posOffset>
                </wp:positionH>
                <wp:positionV relativeFrom="paragraph">
                  <wp:posOffset>2078990</wp:posOffset>
                </wp:positionV>
                <wp:extent cx="1069975" cy="13716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997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4460A2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е-таи: 1о39®,га8.§оу.п1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19.15000000000001pt;margin-top:163.70000000000002pt;width:84.25pt;height:10.800000000000001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4460A2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е-таи: 1о39®,га8.§оу.п1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1595120</wp:posOffset>
                </wp:positionH>
                <wp:positionV relativeFrom="paragraph">
                  <wp:posOffset>1113155</wp:posOffset>
                </wp:positionV>
                <wp:extent cx="899160" cy="15240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4460A2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25.60000000000001pt;margin-top:87.650000000000006pt;width:70.799999999999997pt;height:12.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4460A2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1220470</wp:posOffset>
                </wp:positionH>
                <wp:positionV relativeFrom="paragraph">
                  <wp:posOffset>1417955</wp:posOffset>
                </wp:positionV>
                <wp:extent cx="1654810" cy="15557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5481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4460A2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по Калининградской области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96.100000000000009pt;margin-top:111.65000000000001pt;width:130.30000000000001pt;height:12.25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4460A2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по Калининградской области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56030" distB="1901825" distL="321310" distR="394970" simplePos="0" relativeHeight="125829379" behindDoc="0" locked="0" layoutInCell="1" allowOverlap="1">
                <wp:simplePos x="0" y="0"/>
                <wp:positionH relativeFrom="page">
                  <wp:posOffset>924560</wp:posOffset>
                </wp:positionH>
                <wp:positionV relativeFrom="paragraph">
                  <wp:posOffset>1268730</wp:posOffset>
                </wp:positionV>
                <wp:extent cx="2246630" cy="149225"/>
                <wp:wrapSquare wrapText="righ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6630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72.799999999999997pt;margin-top:99.900000000000006pt;width:176.90000000000001pt;height:11.75pt;z-index:-125829374;mso-wrap-distance-left:25.300000000000001pt;mso-wrap-distance-top:98.900000000000006pt;mso-wrap-distance-right:31.100000000000001pt;mso-wrap-distance-bottom:149.75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«АТМА»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20"/>
        <w:jc w:val="left"/>
      </w:pPr>
      <w:r>
        <w:fldChar w:fldCharType="begin"/>
      </w:r>
      <w:r>
        <w:rPr/>
        <w:instrText> HYPERLINK "mailto:atma.18@bk.ru"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а1та.18@,Ьк,ш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Государственное бюджетное учреждение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Калининградской области «Гвардейская центральная районная больница»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дVа^деу8к-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8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сгЬ@тГотед39.ш;хакирИ @д\'агсктЬ.ги;хакирк1 _дсгЬ@таП.ги;23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820" w:right="0" w:firstLine="0"/>
        <w:jc w:val="left"/>
      </w:pP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ко@,8ЬегЬапк-а8Еш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; </w:t>
      </w:r>
      <w:r>
        <w:fldChar w:fldCharType="begin"/>
      </w:r>
      <w:r>
        <w:rPr/>
        <w:instrText> HYPERLINK "mailto:info@sberbank-ast.ru"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тГо@8ЬегЬапк-а8Еш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по делу № 039/06/93-985/2023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925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объявлена 13.12.2023</w:t>
        <w:tab/>
        <w:t>г. Калининград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Изготовлено в полном объеме 18.12.2023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Н.С. Иванова - заместитель руководителя - начальник отдела контроля органов власти, закупок и рекламы Калининградского УФАС России;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О.И. Филатов - ведущий специалист-эксперт отдела контроля органов власти, закупок и рекламы Калининградского УФАС России;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И.Д. Старжинский - специалист-эксперт отдела контроля органов власти, закупок и рекламы Калининградского УФАС России,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 представителей: заявителя - ООО «АТМА»: А.С. Сушкова (по доверенности); заказчика - Государственного бюджетного учреждения здравоохранения Калининградской области «Гвардейская центральная районная больница»: А.М. Корнеевой (по доверенности); А.А. Гауковой (по доверенности),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в режиме видеоконференцсвязи посредством плагина «ТшеСопГ» жалобу ООО «АТМА» (вх. № 9442/23 от 06.12.2023) на действия заказчика - Государственного бюджетного учреждения Калининградской области «Гвардейская центральная районная больница» при осуществлении закупки предметом которой является поставка аппарата искусственной вентиляции легких для интенсивной терапии неонатальный и для взрослых (извещение № 0335300048223000106) (далее - запрос котировок), и в результате внеплановой проверки, проведенной в соответствии с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111111111111111111111III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Управление Федеральной антимонопольной службы по Калининградской области 06.12.2023 поступила жалоба Заявителя на действия Заказчика при формировании извещения об осуществлении закупки.</w:t>
      </w:r>
      <w:bookmarkEnd w:id="0"/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2020" w:right="0" w:firstLine="0"/>
        <w:jc w:val="both"/>
      </w:pPr>
      <w:bookmarkStart w:id="2" w:name="bookmark2"/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обоснование своей жалобы Заявитель привел следующие доводы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Заявитель полагает, что у Заказчика отсутствовали основания проводить закупку в соответствии с частью 12 статьи 93 Закона о контрактной системе, поскольку по мнению Заявителя закупка должна была осуществляться конкурентным способом (электронным аукционом, запросом котировок в электронной форме).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2. По мнению Заявителя, аппарат предложенный победителем закупки не соответствует требованиям извещения об осуществлении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202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даны следующие пояснения по сути жалобы Заявителя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не согласен с доводами жалобы Заявителя, полагает, что его действия при осуществлении закупки не противоречат требованиям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результате рассмотрения жалобы и проведения в соответствии с частью 15 статьи 99 Закона о контрактной системе внеплановой проверки, Комиссия установила следующее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04.12.2023 Заказчиком на официальном сайте единой информационной системы в сфере закупок размещено извещение о проведении закупки с единственным поставщиком № 0335300048223000106 с приложениями. Начальная цена контракта - 4 905 000,00 рублей.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Как установлено частью 1 статьи 93 Закона о контрактной системе заказчики при осуществлении закупок применяют конкурентные способы определения поставщиков (подрядчиков, исполнителей) (далее - конкурентные способы) или осуществляют закупки у единственного поставщика (подрядчика, исполнителя).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2 статьи 24 Закона о контрактной системе конкурентными способами являются: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конкурсы (открытый конкурс в электронной форме (далее - электронный конкурс), закрытый конкурс, закрытый конкурс в электронной форме (далее - закрытый электронный конкурс);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аукционы (открытый аукцион в электронной форме (далее - электронный аукцион), закрытый аукцион, закрытый аукцион в электронной форме (далее - закрытый электронный аукцион);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4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запрос котировок в электронной форме (далее - электронный запрос котировок).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3 статьи 24 Закона о контрактной системе для целей настоящего Федерального закона, электронный конкурс, электронный аукцион, электронный запрос котировок, закупка товара у единственного поставщика на сумму, предусмотренную частью 12 статьи 93 настоящего Федерального закона, считаются также электронными процедурами, а закрытый электронный конкурс, закрытый электронный аукцион - закрытыми электронными процедурами.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заседании Комиссии представитель Заказчика пояснил, что закупка аппарата искусственной вентиляции легких осуществляется за счет средств выделенных Министерством здравоохранения в рамках субсидии 2023 года, что изначально предполагает осуществление закупочных мероприятий, поставку товара и последующую оплату, поставленного товара в текущем финансовом году, учитывая срочность закупки и установленные сроки на повторное размещение закупки посредством электронной аукциона, Заказчиком было принято решение провести закупку на основании пункта 4 части 1 статьи 93 Закона о контрактной системе в порядке, предусмотренном частью 12 статьи 93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Комиссия отмечает, что осуществление закупок у единственного поставщика (подрядчика, исполнителя) является предусмотренным Законом о контрактной системе правом заказчика, реализация которого может осуществляться при наличии такой необходимости и в соответствии с законодательства РФ и иными нормативными правовыми актами и контрактной системе. Аналогичная позиция содержится в письме Минфина России от 08.06.2020 № 24-04-08/48982 «О закупках у единственного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поставщика (подрядчика, исполнителя) с использованием «электронного магазина».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4 части 1 статьи 93 Закона о контрактной системе закупка у единственного поставщика (подрядчика, исполнителя) может осуществляться заказчиком в случае осуществления закупки товара, работы или услуги на сумму, не превышающую шестисот тысяч рублей, либо закупки товара на сумму, предусмотренную частью 12 настоящей статьи, если такая закупка осуществляется в электронной форме.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пунктами 1, 2 части 12 статьи 93 Закона о контрактной системе в случаях, предусмотренных пунктами 4 - 5.2 части 1 настоящей статьи, закупка товара на сумму, не превышающую пяти миллионов рублей, может осуществляться в электронной форме с использованием электронной площадки. Годовой объем закупок, осуществляемых в таком порядке, не должен превышать сто миллионов рублей. Закупка товара в соответствии с настоящей частью осуществляется в следующем порядке: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1) в целях участия в проводимых на электронной площадке закупках, предусмотренных настоящей частью,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участники закупки вправе сформировать на электронной площадке, подписать усиленной электронной подписью и разместить на такой электронной площадке предварительное предложение о поставке товаров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(далее - предварительное предложение), содержащее в отношении каждого товара, предлагаемого таким участником закупки к поставкам;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2)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размещение предварительного предложения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соответствии с пунктом 1 настоящей части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означает согласие участника закупки на направление оператором электронной площадки заказчикам предложений о поставке товаров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, соответствующих требованиям, установленным в извещениях об осуществлении закупок в соответствии с подпунктом «в» пункта 3 настоящей части. При этом ответственность за достоверность информации и документов, содержащихся в предварительном предложении, за соответствие указанных информации и документов требованиям, установленным законодательством Российской Федерации, несет участник закупки. Предусмотренное настоящим пунктом предварительное предложение о поставке товара признается заявкой на участие в закупке, поданной участником закупки, начиная с осуществления оператором электронной площадки действия, предусмотренного подпунктом «а» пункта 5 настоящей части. Участник закупки в порядке, установленном пунктом 1 настоящей части для формирования и размещения предварительного предложения, вправе внести в предварительное предложение изменения. При этом такие изменения применяются к отношениям, связанным с участием в закупках, извещения об осуществлении которых размещены в единой информационной системе после размещения на электронной площадке таких изменений.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пункта 3 части 12 статьи 93 Закона о контрактной системе заказчик формирует с использованием единой информационной системы, подписывает усиленной электронной подписью и размещает в единой информационной системе извещение об осуществлении закупки, содержащее: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8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адрес электронной площадки в информационно-телекоммуникационной сети «Интернет»;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89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информацию, указанную в пунктах 1 - 3, 9, 10, 13, 15, 17 и 18 части 1 статьи 42 настоящего Федерального закона;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84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товара и его характеристики с использованием каталога товаров, работ, услуг для обеспечения государственных и муниципальных нужд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, начальную цену единицы товара с учетом стоимости доставки, налогов, сборов и иных обязательных платежей, количество закупаемого товара, единицу измерения товара по общероссийскому классификатору, используемому для количественной оценки технико-экономических и социальных показателей, срок и место поставки товара по общероссийскому (общероссийским) классификатору (классификаторам), используемому (используемым) для сопоставимости и автоматизированной обработки информации в разрезах административно-территориального деления, систематизации и однозначной идентификации на всей территории Российской Федерации муниципальных образований и населенных пунктов, входящих в их состав. Предусмотренный настоящим подпунктом срок поставки товара исчисляется календарными днями и указывается в извещении об осуществлении закупки в календарных днях;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70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информацию о возможности одностороннего отказа от исполнения контракта в соответствии с положениями частей 8 - 23 и 25 статьи 95 настоящего Федерального закона;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27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требования, предъявляемые к участникам закупки и предусмотренные частями 1 и 2 статьи 31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настоящего Федерального закона (при наличии);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79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требование, устанавливаемое в соответствии с частью 1.1 статьи 31 настоящего Федерального закона (при наличии).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отмечает, что в силу подпункта «в» пункта 3 части 12 статьи 93 Закон о контрактной системе заказчик при формировании извещения об осуществлении закупки заказчик указывает наименование товара, а также его характеристики с использованием каталога товаров, работ, услуг для государственных и муниципальных нужд (далее — каталог). Если описание объекта закупки, содержащее характеристики товара, не сформировано и не включено в позицию каталога, возможность реализации положений подпункта «в» пункта 3 части 12 статьи 93 Закона о контрактной системе отсутствует, поскольку в этом случае указать в извещении об осуществлении закупки характеристики закупаемого товара с использованием каталога невозможно. В этой связи закупка товара у единственного поставщика в электронной форме на сумму, предусмотренную частью 12 статьи 93 Закона о контрактной системе, осуществляется при наличии в каталоге позиции, содержащей описание объекта закупки, включающее характеристики товара. Аналогичная позиция содержится в письме Минфина России от 10.08.2023 № 24-03-06/75075. При этом при размещении извещения об осуществлении закупки Заказчик может указать только одно наименование товара. Аналогичная позиция содержится в пункте 7 письме Минфина России от 12.02.2021 № 24-06-08/9591 «Об осуществлении закупок».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При осуществлении закупки № 0335300048223000106 Заказчиком использовалась позиция КТРУ 32.50.21.123-00000027 «Аппарат искусственной вентиляции легких для интенсивной терапии неонатальный и для взрослых». В описании объекта закупки к данной позиции КТРУ содержатся характеристики товара, работы, услуги, которые отсутствуют в позиции КТРУ 32.50.21.122-00000022, использованной ранее Заказчиком при осуществлении закупки (извещение № 0335200014923003148). Также в справочной информации по данной позиции КТРУ указано следующее: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«Автоматическая установка для циклической искусственной или вспомогательной альвеолярной вентиляции с достаточным для долгосрочного поддержания дыхательной функции у широкого спектра пациентов с различными потребностями выбором функций и режимов. </w:t>
      </w: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Обычно предназначается для взрослых, но может применяться и в педиатрии, и даже в неонатологии, но только в самом крайнем случае.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Обычно имеет программируемые режимы по давлению/объёму, в т. ч. режим спонтанного дыхания с минимально необходимой принудительной подкачкой воздуха на случай остановки дыхания. Оснащается специально разработанными для использования в интенсивной терапии мониторами и сигнализациями».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аппарат может использоваться для циклической искусственной или вспомогательной альвеолярной вентиляции как для взрослых, так и для детей.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отмечает, что Законом о контрактной системе не предусмотрено каких-либо императивных требований по выбору конкретного кода по ОКПД2, кода по позиции КТРУ. Заказчик самостоятельно определяет код по ОКПД2 или код позиции КТРУ путем соотнесения объекта закупки к соответствующим кодам и наименованиям позиций ОКПД или КТРУ, как наиболее подходящим с учетом специфики закупки, области применения закупаемого товара (работы, услуги), а также его характеристик. Аналогичная позиция также отражена в письме Минфина России от 17.03.2020 № 24-05- 08/20208 «Об установлении требований к участникам закупки; об описании объекта закупки; о применении типовых контрактов (условий контрактов); о требованиях к составу второй части заявки на участие в аукционе».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подпунктом «а» пункта 5 части 12 статьи 93 Закона о контрактной системе в течение одного часа с момента размещения в единой информационной системе извещения об осуществлении закупки оператор электронной площадки с учетом положений пункта 8 настоящей части с использованием электронной площадки определяет из числа всех предварительных предложений, размещенных в соответствии с пунктом 1 настоящей части, не более пяти заявок на участие в закупке (предварительных предложений), соответствующих требованиям, установленным в извещении об осуществлении закупки в соответствии с подпунктами «в» и «е» пункта 3 настоящей части, и содержащих наименьшие цены за единицу товара, являющегося объектом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04.12.2023 согласно представленным Оператором электронной площадки сведениям во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исполнение требований пункта 2 части 12 статьи 93 Закона о контрактной системе Заказчику было направлено предварительное предложение участника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Своё предварительное предложение в соответствии с пунктом 1 части 12 статьи 93 Закона о контрактной системе Заявитель не формировал, как пояснил представитель Заказчика на заседании от Заявителя обращений с просьбой сообщить о планируемых сроках и условиях повторного размещения закупки и возможности рассмотрения предлагаемого оборудования не поступало.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Дополнительно Комиссия поясняет, что жалоба Заявителя подана в Калининградское УФАС России в порядке главы 6 Закона о контрактной системе и рассмотрена Комиссией в соответствии с требованиями статьи 106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следует отметить, что в рамках рассмотрения данной жалобы Комиссия не вправе давать оценку действиям Заказчика в части наличия либо отсутствия нарушений Федерального закона от 26.07.2006 № 135-ФЗ «О защите конкуренции» (далее - Закон о защите конкуренции), так как дела о нарушении антимонопольного законодательства рассматриваются в соответствии с Законом о защите конкуренции по процедуре, предусмотренной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Федерации, утвержденным приказом ФАС России от 25.05.2012 № 339.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Учитывая, что в рамках рассмотрения настоящей жалобы Комиссия Калининградского УФАС России по контролю в сфере закупок не обладает полномочиями по рассмотрению жалоб и обращений в порядке, предусмотренном Законом о защите конкуренции, доводы жалобы в отношении нарушения Закона о защите конкуренции рассмотрению не подлежат.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части довода о несоответствии предложенного победителем закупки товара требованиям извещения об осуществлении закупки Комиссия отмечает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представленным сведениям победителем закупки — ООО «Русская Медицинская Корпорация» (ИНН 7726566487) предложен к поставке товар: «Аппарат искусственной вентиляции легких Ригйап Веппей серии 980, с принадлежностями Производитель: «Ковидиен Ллс», год выпуска: 2022, страна происхождения: Соединенные Штаты Америки, Республика Сингапур, Италия, Мексика, Китай, Новая Зеландия, Коста-Рика, Ирландия.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 в предложенном победителем закупки «Аппарате искусственной вентиляции легких Ригйап Веппей серии 980» отсутствует, в том числе значение характеристики: «Вентиляция управляемая по объему (VСV)», что подтверждается инструкцией на данный аппарат.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Комиссия отмечает, что из руководства пользователя на «Аппарат искусственной вентиляции легких Ригйап Веппей серии 980» от 12.11.2021 не представляется возможным сделать однозначный вывод о наличии либо отсутствии указанных Заявителем в жалобе характеристик товара, требуемого к поставке Заказчику.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Комиссия отмечает, что положениями контракта допускается проведение экспертизы поставленного товара на соответствие требованиям извещения об осуществлении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изложенных обстоятельствах, ввиду отсутствия, в том числе достаточных доказательств, позволяющих на день принятия решения сделать однозначный вывод о том, что предложенный победителем закупки товар не соответствует условиям извещения об осуществления закупки, Комиссия приходит к выводу, что доводы жалобы Заявителя являются необоснованными.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заседании Комиссии представители лиц, участвующих в рассмотрении жалобы, на вопрос председателя Комиссии о достаточности доказательств, представленных в материалы дела, пояснили, что все доказательства, которые они намеревались представить, имеются в распоряжении Комиссии, иных доказательств, ходатайств, в том числе о представлении или истребовании дополнительных доказательств не имеется.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изложенным, руководствуясь частями 1, 4, 7 статьи 105, частью 8 статьи 106 Закона о контрактной системе, Комиссия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049" w:right="397" w:bottom="1172" w:left="65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ООО «АТМА» необоснованной.</w:t>
      </w:r>
    </w:p>
    <w:p>
      <w:pPr>
        <w:pStyle w:val="Style9"/>
        <w:keepNext w:val="0"/>
        <w:keepLines w:val="0"/>
        <w:framePr w:w="2477" w:h="341" w:wrap="none" w:hAnchor="page" w:x="116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"/>
        <w:keepNext w:val="0"/>
        <w:keepLines w:val="0"/>
        <w:framePr w:w="2717" w:h="403" w:wrap="none" w:hAnchor="page" w:x="4842" w:y="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4D4D4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9"/>
        <w:keepNext w:val="0"/>
        <w:keepLines w:val="0"/>
        <w:framePr w:w="1426" w:h="341" w:wrap="none" w:hAnchor="page" w:x="990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Н.С. Иванова</w:t>
      </w:r>
    </w:p>
    <w:p>
      <w:pPr>
        <w:widowControl w:val="0"/>
        <w:spacing w:after="709" w:line="1" w:lineRule="exact"/>
      </w:pPr>
      <w:r>
        <w:drawing>
          <wp:anchor distT="0" distB="0" distL="0" distR="1807210" simplePos="0" relativeHeight="62914694" behindDoc="1" locked="0" layoutInCell="1" allowOverlap="1">
            <wp:simplePos x="0" y="0"/>
            <wp:positionH relativeFrom="page">
              <wp:posOffset>2680970</wp:posOffset>
            </wp:positionH>
            <wp:positionV relativeFrom="margin">
              <wp:posOffset>88265</wp:posOffset>
            </wp:positionV>
            <wp:extent cx="311150" cy="365760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441" w:right="450" w:bottom="971" w:left="718" w:header="0" w:footer="3" w:gutter="0"/>
          <w:cols w:space="720"/>
          <w:noEndnote/>
          <w:rtlGutter w:val="0"/>
          <w:docGrid w:linePitch="360"/>
        </w:sectPr>
      </w:pP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70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Иванова Наталия Сергеевна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490303АЕ8С2000А96Е791С51240В6123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24.07.2023 по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16.10.2024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41" w:right="4419" w:bottom="8403" w:left="420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478155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151890" cy="21653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189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57.950000000000003pt;margin-top:10.pt;width:90.700000000000003pt;height:17.050000000000001pt;z-index:-125829372;mso-wrap-distance-left:0;mso-wrap-distance-top:10.pt;mso-wrap-distance-right:0;mso-wrap-distance-bottom:37.649999999999999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62280" distB="0" distL="0" distR="1807210" simplePos="0" relativeHeight="125829383" behindDoc="0" locked="0" layoutInCell="1" allowOverlap="1">
            <wp:simplePos x="0" y="0"/>
            <wp:positionH relativeFrom="page">
              <wp:posOffset>2680335</wp:posOffset>
            </wp:positionH>
            <wp:positionV relativeFrom="paragraph">
              <wp:posOffset>462280</wp:posOffset>
            </wp:positionV>
            <wp:extent cx="311150" cy="359410"/>
            <wp:wrapTopAndBottom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532130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2.pt;margin-top:41.899999999999999pt;width:135.84999999999999pt;height:20.150000000000002pt;z-index:2516577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70840" distB="231140" distL="0" distR="0" simplePos="0" relativeHeight="125829384" behindDoc="0" locked="0" layoutInCell="1" allowOverlap="1">
                <wp:simplePos x="0" y="0"/>
                <wp:positionH relativeFrom="page">
                  <wp:posOffset>6271260</wp:posOffset>
                </wp:positionH>
                <wp:positionV relativeFrom="paragraph">
                  <wp:posOffset>370840</wp:posOffset>
                </wp:positionV>
                <wp:extent cx="914400" cy="21971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440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О.И. Филатов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93.80000000000001pt;margin-top:29.199999999999999pt;width:72.pt;height:17.300000000000001pt;z-index:-125829369;mso-wrap-distance-left:0;mso-wrap-distance-top:29.199999999999999pt;mso-wrap-distance-right:0;mso-wrap-distance-bottom:18.199999999999999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О.И. Филатов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Филатов Олег Игоревич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0087АЭ0006701 ОЕ9А3191630Е14509О162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41" w:right="4261" w:bottom="8403" w:left="4207" w:header="0" w:footer="3" w:gutter="0"/>
          <w:cols w:space="720"/>
          <w:noEndnote/>
          <w:rtlGutter w:val="0"/>
          <w:docGrid w:linePitch="360"/>
        </w:sectPr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919191"/>
          <w:spacing w:val="0"/>
          <w:w w:val="100"/>
          <w:position w:val="0"/>
          <w:shd w:val="clear" w:color="auto" w:fill="auto"/>
          <w:lang w:val="ru-RU" w:eastAsia="ru-RU" w:bidi="ru-RU"/>
        </w:rPr>
        <w:t>01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.1</w:t>
      </w:r>
      <w:r>
        <w:rPr>
          <w:color w:val="919191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.2022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25.01.2024</w:t>
      </w: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41" w:right="0" w:bottom="9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2717" w:h="403" w:wrap="none" w:vAnchor="text" w:hAnchor="page" w:x="4842" w:y="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9"/>
        <w:keepNext w:val="0"/>
        <w:keepLines w:val="0"/>
        <w:framePr w:w="1963" w:h="346" w:wrap="none" w:vAnchor="text" w:hAnchor="page" w:x="935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И.Д. Старжинский</w:t>
      </w:r>
    </w:p>
    <w:p>
      <w:pPr>
        <w:widowControl w:val="0"/>
        <w:spacing w:after="709" w:line="1" w:lineRule="exact"/>
      </w:pPr>
      <w:r>
        <w:drawing>
          <wp:anchor distT="0" distB="0" distL="0" distR="1807210" simplePos="0" relativeHeight="62914695" behindDoc="1" locked="0" layoutInCell="1" allowOverlap="1">
            <wp:simplePos x="0" y="0"/>
            <wp:positionH relativeFrom="page">
              <wp:posOffset>2680970</wp:posOffset>
            </wp:positionH>
            <wp:positionV relativeFrom="paragraph">
              <wp:posOffset>91440</wp:posOffset>
            </wp:positionV>
            <wp:extent cx="311150" cy="359410"/>
            <wp:wrapNone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41" w:right="450" w:bottom="971" w:left="718" w:header="0" w:footer="3" w:gutter="0"/>
          <w:cols w:space="720"/>
          <w:noEndnote/>
          <w:rtlGutter w:val="0"/>
          <w:docGrid w:linePitch="360"/>
        </w:sectPr>
      </w:pP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50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500" w:right="0" w:firstLine="0"/>
        <w:jc w:val="left"/>
        <w:rPr>
          <w:sz w:val="11"/>
          <w:szCs w:val="11"/>
        </w:rPr>
      </w:pPr>
      <w:r>
        <w:rPr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Старжинский Илья Дмитриевич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500" w:right="0" w:firstLine="0"/>
        <w:jc w:val="left"/>
      </w:pP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00О26Е9С8Е361В80142659В7ЕВ02304804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350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86" behindDoc="0" locked="0" layoutInCell="1" allowOverlap="1">
                <wp:simplePos x="0" y="0"/>
                <wp:positionH relativeFrom="page">
                  <wp:posOffset>5810885</wp:posOffset>
                </wp:positionH>
                <wp:positionV relativeFrom="paragraph">
                  <wp:posOffset>622300</wp:posOffset>
                </wp:positionV>
                <wp:extent cx="1459865" cy="216535"/>
                <wp:wrapSquare wrapText="bothSides"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986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решение может быть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457.55000000000001pt;margin-top:49.pt;width:114.95pt;height:17.050000000000001pt;z-index:-12582936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решение может быть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16.05.2023 по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08.08.2024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9 статьи 106 Закона о контрактной системе, обжаловано в судебном порядке в течение трех месяцев со дня его принятия.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41" w:right="2826" w:bottom="1441" w:left="71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10016490</wp:posOffset>
              </wp:positionV>
              <wp:extent cx="3267710" cy="10350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77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4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2023-6478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6.75pt;margin-top:788.70000000000005pt;width:257.30000000000001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4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2023-6478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10012680</wp:posOffset>
              </wp:positionV>
              <wp:extent cx="646430" cy="10033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2023-6478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7.200000000000003pt;margin-top:788.39999999999998pt;width:50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2023-6478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Подпись к картинке_"/>
    <w:basedOn w:val="DefaultParagraphFont"/>
    <w:link w:val="Style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  <w:style w:type="character" w:customStyle="1" w:styleId="CharStyle8">
    <w:name w:val="Основной текст (4)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Основной текст (5)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5">
    <w:name w:val="Основной текст (3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D4D4D"/>
      <w:sz w:val="12"/>
      <w:szCs w:val="12"/>
      <w:u w:val="none"/>
    </w:rPr>
  </w:style>
  <w:style w:type="paragraph" w:customStyle="1" w:styleId="Style2">
    <w:name w:val="Подпись к картинке"/>
    <w:basedOn w:val="Normal"/>
    <w:link w:val="CharStyle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auto"/>
      <w:spacing w:after="260"/>
      <w:ind w:firstLine="4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240"/>
      <w:ind w:firstLine="58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4">
    <w:name w:val="Основной текст (3)"/>
    <w:basedOn w:val="Normal"/>
    <w:link w:val="CharStyle25"/>
    <w:pPr>
      <w:widowControl w:val="0"/>
      <w:shd w:val="clear" w:color="auto" w:fill="auto"/>
      <w:spacing w:after="100"/>
      <w:ind w:left="1750" w:firstLine="35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7E7E7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D4D4D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Решение Крымского УФАС России от 12.04.2023 по делу N 082/06/106-278/2023Обстоятельства: По мнению Заявителя, его права и законные интересы нарушены действиями Заказчика, а именно: Заказчиком, в нарушение норм ст. 33 Закона о контрактной системе, а также в нарушение Постановления Правительства N 145, использован неверный КТРУ; необоснованно ограничена конкуренция в пользу одного-единственного производителя.Решение: Признать жалобу необоснованной.</dc:title>
  <dc:subject/>
  <dc:creator/>
  <cp:keywords/>
</cp:coreProperties>
</file>