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20" w:line="240" w:lineRule="auto"/>
        <w:ind w:left="0" w:right="0" w:firstLine="0"/>
        <w:jc w:val="center"/>
        <w:rPr>
          <w:sz w:val="22"/>
          <w:szCs w:val="22"/>
        </w:rPr>
      </w:pPr>
      <w:r>
        <w:drawing>
          <wp:anchor distT="0" distB="1954530" distL="1168400" distR="1085215" simplePos="0" relativeHeight="125829378" behindDoc="0" locked="0" layoutInCell="1" allowOverlap="1">
            <wp:simplePos x="0" y="0"/>
            <wp:positionH relativeFrom="page">
              <wp:posOffset>1884045</wp:posOffset>
            </wp:positionH>
            <wp:positionV relativeFrom="paragraph">
              <wp:posOffset>63500</wp:posOffset>
            </wp:positionV>
            <wp:extent cx="542290" cy="57277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42290" cy="572770"/>
                    </a:xfrm>
                    <a:prstGeom prst="rect"/>
                  </pic:spPr>
                </pic:pic>
              </a:graphicData>
            </a:graphic>
          </wp:anchor>
        </w:drawing>
      </w:r>
      <w:r>
        <mc:AlternateContent>
          <mc:Choice Requires="wps">
            <w:drawing>
              <wp:anchor distT="683260" distB="805180" distL="114300" distR="114300" simplePos="0" relativeHeight="125829379" behindDoc="0" locked="0" layoutInCell="1" allowOverlap="1">
                <wp:simplePos x="0" y="0"/>
                <wp:positionH relativeFrom="page">
                  <wp:posOffset>829945</wp:posOffset>
                </wp:positionH>
                <wp:positionV relativeFrom="paragraph">
                  <wp:posOffset>746760</wp:posOffset>
                </wp:positionV>
                <wp:extent cx="2569210" cy="1037590"/>
                <wp:wrapSquare wrapText="right"/>
                <wp:docPr id="3" name="Shape 3"/>
                <a:graphic xmlns:a="http://schemas.openxmlformats.org/drawingml/2006/main">
                  <a:graphicData uri="http://schemas.microsoft.com/office/word/2010/wordprocessingShape">
                    <wps:wsp>
                      <wps:cNvSpPr txBox="1"/>
                      <wps:spPr>
                        <a:xfrm>
                          <a:ext cx="2569210" cy="1037590"/>
                        </a:xfrm>
                        <a:prstGeom prst="rect"/>
                        <a:noFill/>
                      </wps:spPr>
                      <wps:txbx>
                        <w:txbxContent>
                          <w:p>
                            <w:pPr>
                              <w:pStyle w:val="Style2"/>
                              <w:keepNext w:val="0"/>
                              <w:keepLines w:val="0"/>
                              <w:widowControl w:val="0"/>
                              <w:shd w:val="clear" w:color="auto" w:fill="auto"/>
                              <w:bidi w:val="0"/>
                              <w:spacing w:before="0" w:after="0" w:line="259" w:lineRule="auto"/>
                              <w:ind w:left="0" w:right="0" w:firstLine="0"/>
                              <w:jc w:val="center"/>
                            </w:pPr>
                            <w:r>
                              <w:rPr>
                                <w:b/>
                                <w:bCs/>
                                <w:color w:val="000000"/>
                                <w:spacing w:val="0"/>
                                <w:w w:val="100"/>
                                <w:position w:val="0"/>
                                <w:shd w:val="clear" w:color="auto" w:fill="auto"/>
                                <w:lang w:val="ru-RU" w:eastAsia="ru-RU" w:bidi="ru-RU"/>
                              </w:rPr>
                              <w:t>СЛУЖБА</w:t>
                            </w:r>
                          </w:p>
                          <w:p>
                            <w:pPr>
                              <w:pStyle w:val="Style2"/>
                              <w:keepNext w:val="0"/>
                              <w:keepLines w:val="0"/>
                              <w:widowControl w:val="0"/>
                              <w:shd w:val="clear" w:color="auto" w:fill="auto"/>
                              <w:bidi w:val="0"/>
                              <w:spacing w:before="0" w:after="0" w:line="259" w:lineRule="auto"/>
                              <w:ind w:left="0" w:right="0" w:firstLine="0"/>
                              <w:jc w:val="center"/>
                            </w:pPr>
                            <w:r>
                              <w:rPr>
                                <w:b/>
                                <w:bCs/>
                                <w:color w:val="000000"/>
                                <w:spacing w:val="0"/>
                                <w:w w:val="100"/>
                                <w:position w:val="0"/>
                                <w:shd w:val="clear" w:color="auto" w:fill="auto"/>
                                <w:lang w:val="ru-RU" w:eastAsia="ru-RU" w:bidi="ru-RU"/>
                              </w:rPr>
                              <w:t>ГОСУДАРСТВЕННОГО</w:t>
                              <w:br/>
                              <w:t>ФИНАНСОВОГО КОНТРОЛЯ</w:t>
                              <w:br/>
                              <w:t>РЕСПУБЛИКИ ДАГЕСТАН</w:t>
                              <w:br/>
                              <w:t>(Госфинконтроль РД)</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5.349999999999994pt;margin-top:58.800000000000004pt;width:202.30000000000001pt;height:81.700000000000003pt;z-index:-125829374;mso-wrap-distance-left:9.pt;mso-wrap-distance-top:53.800000000000004pt;mso-wrap-distance-right:9.pt;mso-wrap-distance-bottom:63.399999999999999pt;mso-position-horizontal-relative:page" filled="f" stroked="f">
                <v:textbox inset="0,0,0,0">
                  <w:txbxContent>
                    <w:p>
                      <w:pPr>
                        <w:pStyle w:val="Style2"/>
                        <w:keepNext w:val="0"/>
                        <w:keepLines w:val="0"/>
                        <w:widowControl w:val="0"/>
                        <w:shd w:val="clear" w:color="auto" w:fill="auto"/>
                        <w:bidi w:val="0"/>
                        <w:spacing w:before="0" w:after="0" w:line="259" w:lineRule="auto"/>
                        <w:ind w:left="0" w:right="0" w:firstLine="0"/>
                        <w:jc w:val="center"/>
                      </w:pPr>
                      <w:r>
                        <w:rPr>
                          <w:b/>
                          <w:bCs/>
                          <w:color w:val="000000"/>
                          <w:spacing w:val="0"/>
                          <w:w w:val="100"/>
                          <w:position w:val="0"/>
                          <w:shd w:val="clear" w:color="auto" w:fill="auto"/>
                          <w:lang w:val="ru-RU" w:eastAsia="ru-RU" w:bidi="ru-RU"/>
                        </w:rPr>
                        <w:t>СЛУЖБА</w:t>
                      </w:r>
                    </w:p>
                    <w:p>
                      <w:pPr>
                        <w:pStyle w:val="Style2"/>
                        <w:keepNext w:val="0"/>
                        <w:keepLines w:val="0"/>
                        <w:widowControl w:val="0"/>
                        <w:shd w:val="clear" w:color="auto" w:fill="auto"/>
                        <w:bidi w:val="0"/>
                        <w:spacing w:before="0" w:after="0" w:line="259" w:lineRule="auto"/>
                        <w:ind w:left="0" w:right="0" w:firstLine="0"/>
                        <w:jc w:val="center"/>
                      </w:pPr>
                      <w:r>
                        <w:rPr>
                          <w:b/>
                          <w:bCs/>
                          <w:color w:val="000000"/>
                          <w:spacing w:val="0"/>
                          <w:w w:val="100"/>
                          <w:position w:val="0"/>
                          <w:shd w:val="clear" w:color="auto" w:fill="auto"/>
                          <w:lang w:val="ru-RU" w:eastAsia="ru-RU" w:bidi="ru-RU"/>
                        </w:rPr>
                        <w:t>ГОСУДАРСТВЕННОГО</w:t>
                        <w:br/>
                        <w:t>ФИНАНСОВОГО КОНТРОЛЯ</w:t>
                        <w:br/>
                        <w:t>РЕСПУБЛИКИ ДАГЕСТАН</w:t>
                        <w:br/>
                        <w:t>(Госфинконтроль РД)</w:t>
                      </w:r>
                    </w:p>
                  </w:txbxContent>
                </v:textbox>
                <w10:wrap type="square" side="right" anchorx="page"/>
              </v:shape>
            </w:pict>
          </mc:Fallback>
        </mc:AlternateContent>
      </w:r>
      <w:r>
        <mc:AlternateContent>
          <mc:Choice Requires="wps">
            <w:drawing>
              <wp:anchor distT="1863090" distB="0" distL="317500" distR="311150" simplePos="0" relativeHeight="125829381" behindDoc="0" locked="0" layoutInCell="1" allowOverlap="1">
                <wp:simplePos x="0" y="0"/>
                <wp:positionH relativeFrom="page">
                  <wp:posOffset>1033145</wp:posOffset>
                </wp:positionH>
                <wp:positionV relativeFrom="paragraph">
                  <wp:posOffset>1926590</wp:posOffset>
                </wp:positionV>
                <wp:extent cx="2169160" cy="662940"/>
                <wp:wrapSquare wrapText="right"/>
                <wp:docPr id="5" name="Shape 5"/>
                <a:graphic xmlns:a="http://schemas.openxmlformats.org/drawingml/2006/main">
                  <a:graphicData uri="http://schemas.microsoft.com/office/word/2010/wordprocessingShape">
                    <wps:wsp>
                      <wps:cNvSpPr txBox="1"/>
                      <wps:spPr>
                        <a:xfrm>
                          <a:ext cx="2169160" cy="6629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367002, Республика Дагестан,</w:t>
                              <w:br/>
                              <w:t>г. Махачкала, ул. Абубакарова, д.67</w:t>
                              <w:br/>
                              <w:t>тел./факс (8722) 67-20-64</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8§Ткгб@гпаП.ги</w:t>
                            </w:r>
                          </w:p>
                        </w:txbxContent>
                      </wps:txbx>
                      <wps:bodyPr lIns="0" tIns="0" rIns="0" bIns="0">
                        <a:noAutoFit/>
                      </wps:bodyPr>
                    </wps:wsp>
                  </a:graphicData>
                </a:graphic>
              </wp:anchor>
            </w:drawing>
          </mc:Choice>
          <mc:Fallback>
            <w:pict>
              <v:shape id="_x0000_s1031" type="#_x0000_t202" style="position:absolute;margin-left:81.350000000000009pt;margin-top:151.70000000000002pt;width:170.80000000000001pt;height:52.200000000000003pt;z-index:-125829372;mso-wrap-distance-left:25.pt;mso-wrap-distance-top:146.70000000000002pt;mso-wrap-distance-right:24.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367002, Республика Дагестан,</w:t>
                        <w:br/>
                        <w:t>г. Махачкала, ул. Абубакарова, д.67</w:t>
                        <w:br/>
                        <w:t>тел./факс (8722) 67-20-64</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8§Ткгб@гпаП.ги</w:t>
                      </w:r>
                    </w:p>
                  </w:txbxContent>
                </v:textbox>
                <w10:wrap type="square" side="right" anchorx="page"/>
              </v:shape>
            </w:pict>
          </mc:Fallback>
        </mc:AlternateContent>
      </w:r>
      <w:r>
        <w:rPr>
          <w:b/>
          <w:bCs/>
          <w:color w:val="000000"/>
          <w:spacing w:val="0"/>
          <w:w w:val="100"/>
          <w:position w:val="0"/>
          <w:sz w:val="26"/>
          <w:szCs w:val="26"/>
          <w:shd w:val="clear" w:color="auto" w:fill="auto"/>
          <w:lang w:val="ru-RU" w:eastAsia="ru-RU" w:bidi="ru-RU"/>
        </w:rPr>
        <w:t>Государственное казенное учреждение</w:t>
        <w:br/>
        <w:t>Республики Дагестан «Дирекция единого</w:t>
        <w:br/>
        <w:t>государственного заказчика-застройщика»</w:t>
        <w:br/>
      </w:r>
      <w:r>
        <w:rPr>
          <w:color w:val="000000"/>
          <w:spacing w:val="0"/>
          <w:w w:val="100"/>
          <w:position w:val="0"/>
          <w:sz w:val="22"/>
          <w:szCs w:val="22"/>
          <w:shd w:val="clear" w:color="auto" w:fill="auto"/>
          <w:lang w:val="ru-RU" w:eastAsia="ru-RU" w:bidi="ru-RU"/>
        </w:rPr>
        <w:t>367000, Республики Дагестан, г. Махачкала,</w:t>
        <w:br/>
        <w:t>ул. Малыгина, д. 1, §ки-1епдег@таП.ги</w:t>
      </w:r>
    </w:p>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6"/>
          <w:szCs w:val="26"/>
          <w:shd w:val="clear" w:color="auto" w:fill="auto"/>
          <w:lang w:val="ru-RU" w:eastAsia="ru-RU" w:bidi="ru-RU"/>
        </w:rPr>
        <w:t>Индивидуальный предприниматель</w:t>
        <w:br/>
        <w:t>Тинагаджиев Магомедали Типагаджиевич</w:t>
        <w:br/>
      </w:r>
      <w:r>
        <w:rPr>
          <w:color w:val="000000"/>
          <w:spacing w:val="0"/>
          <w:w w:val="100"/>
          <w:position w:val="0"/>
          <w:sz w:val="22"/>
          <w:szCs w:val="22"/>
          <w:shd w:val="clear" w:color="auto" w:fill="auto"/>
          <w:lang w:val="ru-RU" w:eastAsia="ru-RU" w:bidi="ru-RU"/>
        </w:rPr>
        <w:t>367000, Республика Дагестан, Глярагинский р-н, с.</w:t>
      </w:r>
    </w:p>
    <w:p>
      <w:pPr>
        <w:pStyle w:val="Style5"/>
        <w:keepNext w:val="0"/>
        <w:keepLines w:val="0"/>
        <w:widowControl w:val="0"/>
        <w:shd w:val="clear" w:color="auto" w:fill="auto"/>
        <w:bidi w:val="0"/>
        <w:spacing w:before="0" w:after="1080" w:line="240" w:lineRule="auto"/>
        <w:ind w:left="0" w:right="0" w:firstLine="0"/>
        <w:jc w:val="center"/>
      </w:pPr>
      <w:r>
        <w:rPr>
          <w:color w:val="000000"/>
          <w:spacing w:val="0"/>
          <w:w w:val="100"/>
          <w:position w:val="0"/>
          <w:shd w:val="clear" w:color="auto" w:fill="auto"/>
          <w:lang w:val="ru-RU" w:eastAsia="ru-RU" w:bidi="ru-RU"/>
        </w:rPr>
        <w:t>Ибрагимотар</w:t>
        <w:br/>
        <w:t>т.1та§афеу@гпаП.ги</w:t>
      </w:r>
    </w:p>
    <w:p>
      <w:pPr>
        <w:pStyle w:val="Style8"/>
        <w:keepNext/>
        <w:keepLines/>
        <w:widowControl w:val="0"/>
        <w:shd w:val="clear" w:color="auto" w:fill="auto"/>
        <w:bidi w:val="0"/>
        <w:spacing w:before="0" w:line="240" w:lineRule="auto"/>
        <w:ind w:left="0" w:right="0" w:firstLine="0"/>
        <w:jc w:val="both"/>
      </w:pPr>
      <w:bookmarkStart w:id="0" w:name="bookmark0"/>
      <w:r>
        <w:rPr>
          <w:spacing w:val="0"/>
          <w:w w:val="100"/>
          <w:position w:val="0"/>
          <w:shd w:val="clear" w:color="auto" w:fill="auto"/>
          <w:lang w:val="ru-RU" w:eastAsia="ru-RU" w:bidi="ru-RU"/>
        </w:rPr>
        <w:t>узуг. го г?</w:t>
      </w:r>
      <w:r>
        <w:rPr>
          <w:spacing w:val="0"/>
          <w:w w:val="100"/>
          <w:position w:val="0"/>
          <w:u w:val="none"/>
          <w:shd w:val="clear" w:color="auto" w:fill="auto"/>
          <w:lang w:val="ru-RU" w:eastAsia="ru-RU" w:bidi="ru-RU"/>
        </w:rPr>
        <w:t xml:space="preserve"> </w:t>
      </w:r>
      <w:r>
        <w:rPr>
          <w:color w:val="000000"/>
          <w:spacing w:val="0"/>
          <w:w w:val="100"/>
          <w:position w:val="0"/>
          <w:u w:val="none"/>
          <w:shd w:val="clear" w:color="auto" w:fill="auto"/>
          <w:lang w:val="ru-RU" w:eastAsia="ru-RU" w:bidi="ru-RU"/>
        </w:rPr>
        <w:t>№</w:t>
      </w:r>
      <w:bookmarkEnd w:id="0"/>
    </w:p>
    <w:p>
      <w:pPr>
        <w:pStyle w:val="Style2"/>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Решение № 05-109/Р/2023</w:t>
      </w:r>
    </w:p>
    <w:p>
      <w:pPr>
        <w:pStyle w:val="Style2"/>
        <w:keepNext w:val="0"/>
        <w:keepLines w:val="0"/>
        <w:widowControl w:val="0"/>
        <w:shd w:val="clear" w:color="auto" w:fill="auto"/>
        <w:bidi w:val="0"/>
        <w:spacing w:before="0" w:after="220"/>
        <w:ind w:left="0" w:right="0" w:firstLine="0"/>
        <w:jc w:val="center"/>
      </w:pPr>
      <w:r>
        <w:rPr>
          <w:color w:val="000000"/>
          <w:spacing w:val="0"/>
          <w:w w:val="100"/>
          <w:position w:val="0"/>
          <w:shd w:val="clear" w:color="auto" w:fill="auto"/>
          <w:lang w:val="ru-RU" w:eastAsia="ru-RU" w:bidi="ru-RU"/>
        </w:rPr>
        <w:t>Комиссии Службы государственного финансового контроля</w:t>
        <w:br/>
        <w:t>Республики Дагестан по рассмотрению жалоб</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Службы государственного финансового контроля Республики Дагестан по рассмотрению жалоб (далее - Комиссия) в составе: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Председателя комиссии (ведущего заседание) - Агаева Руслана Магомедовича - заместитель начальника отдела контроля в сфере закупок Госфинконтроля РД;</w:t>
      </w:r>
    </w:p>
    <w:p>
      <w:pPr>
        <w:pStyle w:val="Style2"/>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Членов Комиссии:</w:t>
      </w:r>
    </w:p>
    <w:p>
      <w:pPr>
        <w:pStyle w:val="Style2"/>
        <w:keepNext w:val="0"/>
        <w:keepLines w:val="0"/>
        <w:widowControl w:val="0"/>
        <w:numPr>
          <w:ilvl w:val="0"/>
          <w:numId w:val="1"/>
        </w:numPr>
        <w:shd w:val="clear" w:color="auto" w:fill="auto"/>
        <w:tabs>
          <w:tab w:pos="907" w:val="left"/>
        </w:tabs>
        <w:bidi w:val="0"/>
        <w:spacing w:before="0" w:after="0"/>
        <w:ind w:left="0" w:right="0" w:firstLine="700"/>
        <w:jc w:val="both"/>
      </w:pPr>
      <w:r>
        <w:rPr>
          <w:color w:val="000000"/>
          <w:spacing w:val="0"/>
          <w:w w:val="100"/>
          <w:position w:val="0"/>
          <w:shd w:val="clear" w:color="auto" w:fill="auto"/>
          <w:lang w:val="ru-RU" w:eastAsia="ru-RU" w:bidi="ru-RU"/>
        </w:rPr>
        <w:t>Раджабова Серажутдина Бадрутдиновича - консультант отдела контроля в сфере закупок Госфинконтроля РД;</w:t>
      </w:r>
    </w:p>
    <w:p>
      <w:pPr>
        <w:pStyle w:val="Style2"/>
        <w:keepNext w:val="0"/>
        <w:keepLines w:val="0"/>
        <w:widowControl w:val="0"/>
        <w:numPr>
          <w:ilvl w:val="0"/>
          <w:numId w:val="1"/>
        </w:numPr>
        <w:shd w:val="clear" w:color="auto" w:fill="auto"/>
        <w:tabs>
          <w:tab w:pos="914" w:val="left"/>
        </w:tabs>
        <w:bidi w:val="0"/>
        <w:spacing w:before="0" w:after="0"/>
        <w:ind w:left="0" w:right="0" w:firstLine="700"/>
        <w:jc w:val="both"/>
      </w:pPr>
      <w:r>
        <w:rPr>
          <w:color w:val="000000"/>
          <w:spacing w:val="0"/>
          <w:w w:val="100"/>
          <w:position w:val="0"/>
          <w:shd w:val="clear" w:color="auto" w:fill="auto"/>
          <w:lang w:val="ru-RU" w:eastAsia="ru-RU" w:bidi="ru-RU"/>
        </w:rPr>
        <w:t>Курбанова Мажида Аммаевича - консультант отдела контроля в сфере закупок Госфинконтроля РД,</w:t>
      </w:r>
    </w:p>
    <w:p>
      <w:pPr>
        <w:pStyle w:val="Style2"/>
        <w:keepNext w:val="0"/>
        <w:keepLines w:val="0"/>
        <w:widowControl w:val="0"/>
        <w:shd w:val="clear" w:color="auto" w:fill="auto"/>
        <w:bidi w:val="0"/>
        <w:spacing w:before="0" w:after="220"/>
        <w:ind w:left="0" w:right="0" w:firstLine="700"/>
        <w:jc w:val="both"/>
      </w:pPr>
      <w:r>
        <w:rPr>
          <w:color w:val="000000"/>
          <w:spacing w:val="0"/>
          <w:w w:val="100"/>
          <w:position w:val="0"/>
          <w:shd w:val="clear" w:color="auto" w:fill="auto"/>
          <w:lang w:val="ru-RU" w:eastAsia="ru-RU" w:bidi="ru-RU"/>
        </w:rPr>
        <w:t xml:space="preserve">рассмотрев жалобу индивидуального предпринимателя Тинагаджиева Магомедали Тинагаджиевича (далее - Заявитель) на действия государственного казенного учреждения Республики Дагестан «Дирекция единого государственного заказчика-застройщика» (далее - Заказчик) при проведении Комитетом по государственным закупкам Республики Дагестан (далее - Уполномоченный орган) открытого конкурса в электронной форме с номером извещения </w:t>
      </w:r>
      <w:r>
        <w:rPr>
          <w:b/>
          <w:bCs/>
          <w:color w:val="000000"/>
          <w:spacing w:val="0"/>
          <w:w w:val="100"/>
          <w:position w:val="0"/>
          <w:shd w:val="clear" w:color="auto" w:fill="auto"/>
          <w:lang w:val="ru-RU" w:eastAsia="ru-RU" w:bidi="ru-RU"/>
        </w:rPr>
        <w:t xml:space="preserve">0103200008423003007 </w:t>
      </w:r>
      <w:r>
        <w:rPr>
          <w:color w:val="000000"/>
          <w:spacing w:val="0"/>
          <w:w w:val="100"/>
          <w:position w:val="0"/>
          <w:shd w:val="clear" w:color="auto" w:fill="auto"/>
          <w:lang w:val="ru-RU" w:eastAsia="ru-RU" w:bidi="ru-RU"/>
        </w:rPr>
        <w:t>«Комплексное оснащение мебелью на объект: Дошкольная образовательная организация на 120 мест в сел. Кумух Лакского района Республики Дагестан», в отсутствие представителя Заявителя, Заказчика и Уполномоченного органа,</w:t>
      </w:r>
    </w:p>
    <w:p>
      <w:pPr>
        <w:pStyle w:val="Style2"/>
        <w:keepNext w:val="0"/>
        <w:keepLines w:val="0"/>
        <w:widowControl w:val="0"/>
        <w:shd w:val="clear" w:color="auto" w:fill="auto"/>
        <w:bidi w:val="0"/>
        <w:spacing w:before="0" w:after="220"/>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 xml:space="preserve">В Госфинконтроль РД 6 декабря 2023 года поступила жалоба Заявителя на действия Заказчика при проведении Уполномоченным органом открытого конкурса в электронной форме с номером извещения </w:t>
      </w:r>
      <w:r>
        <w:rPr>
          <w:b/>
          <w:bCs/>
          <w:color w:val="000000"/>
          <w:spacing w:val="0"/>
          <w:w w:val="100"/>
          <w:position w:val="0"/>
          <w:shd w:val="clear" w:color="auto" w:fill="auto"/>
          <w:lang w:val="ru-RU" w:eastAsia="ru-RU" w:bidi="ru-RU"/>
        </w:rPr>
        <w:t xml:space="preserve">0103200008423003007 </w:t>
      </w:r>
      <w:r>
        <w:rPr>
          <w:color w:val="000000"/>
          <w:spacing w:val="0"/>
          <w:w w:val="100"/>
          <w:position w:val="0"/>
          <w:shd w:val="clear" w:color="auto" w:fill="auto"/>
          <w:lang w:val="ru-RU" w:eastAsia="ru-RU" w:bidi="ru-RU"/>
        </w:rPr>
        <w:t xml:space="preserve">«Комплексное оснащение мебелью на объект: Дошкольная образовательная организация на 120 мест </w:t>
      </w:r>
      <w:r>
        <w:rPr>
          <w:color w:val="000000"/>
          <w:spacing w:val="0"/>
          <w:w w:val="100"/>
          <w:position w:val="0"/>
          <w:shd w:val="clear" w:color="auto" w:fill="auto"/>
          <w:lang w:val="ru-RU" w:eastAsia="ru-RU" w:bidi="ru-RU"/>
        </w:rPr>
        <w:t>в сел. Кумух Лакского района Республики Дагестан» (ИКЗ 232057200666605720100101860010000414) (далее - открытый конкурс).</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жалобе Заявителя указывается, что извещение открытого конкурса не соответствует требованиям законодательства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Исследовав представленную информацию и документы, проведя анализ информации, содержащейся в единой информационной системе в сфере закупок (далее - Единая информационная системе), а также на электронной площадке РТС - тендер, Комиссия установила: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19 октября 2023 года Уполномоченным органом в Единой информационной системе было размещено извещение о проведении открытого конкурса, начальная (максимальная) цена контракта составляет - 5 849 920,00 рублей.</w:t>
      </w:r>
    </w:p>
    <w:p>
      <w:pPr>
        <w:pStyle w:val="Style2"/>
        <w:keepNext w:val="0"/>
        <w:keepLines w:val="0"/>
        <w:widowControl w:val="0"/>
        <w:numPr>
          <w:ilvl w:val="0"/>
          <w:numId w:val="3"/>
        </w:numPr>
        <w:shd w:val="clear" w:color="auto" w:fill="auto"/>
        <w:tabs>
          <w:tab w:pos="1054" w:val="left"/>
        </w:tabs>
        <w:bidi w:val="0"/>
        <w:spacing w:before="0" w:after="0"/>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объектом закупки является поставка товара, показатели значимости критериев должны быть установлены следующим образом:</w:t>
      </w:r>
    </w:p>
    <w:p>
      <w:pPr>
        <w:pStyle w:val="Style2"/>
        <w:keepNext w:val="0"/>
        <w:keepLines w:val="0"/>
        <w:widowControl w:val="0"/>
        <w:numPr>
          <w:ilvl w:val="0"/>
          <w:numId w:val="5"/>
        </w:numPr>
        <w:shd w:val="clear" w:color="auto" w:fill="auto"/>
        <w:tabs>
          <w:tab w:pos="932" w:val="left"/>
        </w:tabs>
        <w:bidi w:val="0"/>
        <w:spacing w:before="0" w:after="0"/>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 - 70%»;</w:t>
      </w:r>
    </w:p>
    <w:p>
      <w:pPr>
        <w:pStyle w:val="Style2"/>
        <w:keepNext w:val="0"/>
        <w:keepLines w:val="0"/>
        <w:widowControl w:val="0"/>
        <w:numPr>
          <w:ilvl w:val="0"/>
          <w:numId w:val="5"/>
        </w:numPr>
        <w:shd w:val="clear" w:color="auto" w:fill="auto"/>
        <w:tabs>
          <w:tab w:pos="917" w:val="left"/>
        </w:tabs>
        <w:bidi w:val="0"/>
        <w:spacing w:before="0" w:after="0"/>
        <w:ind w:left="0" w:right="0" w:firstLine="72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 - 30%».</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части 1 статьи 32 Закона о контрактной системе, для оценки заявок участников закупки заказчик использует следующие критерии:</w:t>
      </w:r>
    </w:p>
    <w:p>
      <w:pPr>
        <w:pStyle w:val="Style2"/>
        <w:keepNext w:val="0"/>
        <w:keepLines w:val="0"/>
        <w:widowControl w:val="0"/>
        <w:numPr>
          <w:ilvl w:val="0"/>
          <w:numId w:val="5"/>
        </w:numPr>
        <w:shd w:val="clear" w:color="auto" w:fill="auto"/>
        <w:tabs>
          <w:tab w:pos="996" w:val="left"/>
        </w:tabs>
        <w:bidi w:val="0"/>
        <w:spacing w:before="0" w:after="0"/>
        <w:ind w:left="0" w:right="0" w:firstLine="68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2"/>
        <w:keepNext w:val="0"/>
        <w:keepLines w:val="0"/>
        <w:widowControl w:val="0"/>
        <w:numPr>
          <w:ilvl w:val="0"/>
          <w:numId w:val="5"/>
        </w:numPr>
        <w:shd w:val="clear" w:color="auto" w:fill="auto"/>
        <w:tabs>
          <w:tab w:pos="1054" w:val="left"/>
        </w:tabs>
        <w:bidi w:val="0"/>
        <w:spacing w:before="0" w:after="0"/>
        <w:ind w:left="0" w:right="0" w:firstLine="72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2"/>
        <w:keepNext w:val="0"/>
        <w:keepLines w:val="0"/>
        <w:widowControl w:val="0"/>
        <w:numPr>
          <w:ilvl w:val="0"/>
          <w:numId w:val="5"/>
        </w:numPr>
        <w:shd w:val="clear" w:color="auto" w:fill="auto"/>
        <w:tabs>
          <w:tab w:pos="1054" w:val="left"/>
        </w:tabs>
        <w:bidi w:val="0"/>
        <w:spacing w:before="0" w:after="0"/>
        <w:ind w:left="0" w:right="0" w:firstLine="72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2"/>
        <w:keepNext w:val="0"/>
        <w:keepLines w:val="0"/>
        <w:widowControl w:val="0"/>
        <w:numPr>
          <w:ilvl w:val="0"/>
          <w:numId w:val="5"/>
        </w:numPr>
        <w:shd w:val="clear" w:color="auto" w:fill="auto"/>
        <w:tabs>
          <w:tab w:pos="1058" w:val="left"/>
        </w:tabs>
        <w:bidi w:val="0"/>
        <w:spacing w:before="0" w:after="0"/>
        <w:ind w:left="0" w:right="0" w:firstLine="72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части 8 статьи 32 Закона о контрактной системе установлено, что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 декабря 2021 года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w:t>
      </w:r>
      <w:r>
        <w:rPr>
          <w:color w:val="000000"/>
          <w:spacing w:val="0"/>
          <w:w w:val="100"/>
          <w:position w:val="0"/>
          <w:shd w:val="clear" w:color="auto" w:fill="auto"/>
          <w:lang w:val="ru-RU" w:eastAsia="ru-RU" w:bidi="ru-RU"/>
        </w:rPr>
        <w:t>от 20 декабря 2021 года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подпунктом «в» пункта 5 Положения при проведении конкурсов значимость критерия оценки определяется с учетом Положения и предельных величин значимости критериев оценки согласно приложению № 2 «Предельные величины значимости критериев оценки заявок па участие в закупке товаров, работ, услуг для обеспечения государственных и муниципальных нужд» (далее - Приложение № 2) к Положению.</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Заказчиком в извещении об осуществлении закупки и приложении № 5 «Порядок оценки заявок» к извещению об осуществлении закупки, установлены следующие показатели значимости критериев оценки: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 - 60%»;</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 - 40%»;</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1 Приложения № 2 к Положению при поставке товаров, за исключением пищевых продуктов предусмотренных позицией 13 приложения № 2 Положения, минимальная значимость критерия оценки «цена контракта, сумма цен единиц товара, работы, услуги» составляет 70%, максимальная сумма величин значимости критерия оценки «качественные, функциональные и экологические характеристики объекта закупки» составляет 30%.</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объектом закупки является поставка мебели (товара).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связи с чем, Комиссия пришла к выводу о нарушении Заказчиком части 8 статьи 32 Закона о контрактной системе, выразившегося в неправомерном установлении предельных величин значимости критериев, установленных в извещении об осуществлении закупки, так как объектом закупки является поставка товара, предельные величины значимости критериев необходимо было установить в соответствии пунктом 1 Приложения № 2 к Положению, следовательно довод жалобы признается обоснованным.</w:t>
      </w:r>
    </w:p>
    <w:p>
      <w:pPr>
        <w:pStyle w:val="Style2"/>
        <w:keepNext w:val="0"/>
        <w:keepLines w:val="0"/>
        <w:widowControl w:val="0"/>
        <w:numPr>
          <w:ilvl w:val="0"/>
          <w:numId w:val="3"/>
        </w:numPr>
        <w:shd w:val="clear" w:color="auto" w:fill="auto"/>
        <w:tabs>
          <w:tab w:pos="1051" w:val="left"/>
        </w:tabs>
        <w:bidi w:val="0"/>
        <w:spacing w:before="0" w:after="0"/>
        <w:ind w:left="0" w:right="0" w:firstLine="720"/>
        <w:jc w:val="both"/>
      </w:pPr>
      <w:r>
        <w:rPr>
          <w:color w:val="000000"/>
          <w:spacing w:val="0"/>
          <w:w w:val="100"/>
          <w:position w:val="0"/>
          <w:shd w:val="clear" w:color="auto" w:fill="auto"/>
          <w:lang w:val="ru-RU" w:eastAsia="ru-RU" w:bidi="ru-RU"/>
        </w:rPr>
        <w:t>Согласно доводу Заявителя, критерии оценки заявок на участие в открытом конкурсе по показателю «Качественные, функциональные и экологические характеристики объекта закупки» установлены с нарушением требований законодательства о контрактной системе в сфере закупок.</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w:t>
      </w:r>
      <w:r>
        <w:rPr>
          <w:color w:val="000000"/>
          <w:spacing w:val="0"/>
          <w:w w:val="100"/>
          <w:position w:val="0"/>
          <w:shd w:val="clear" w:color="auto" w:fill="auto"/>
          <w:lang w:val="ru-RU" w:eastAsia="ru-RU" w:bidi="ru-RU"/>
        </w:rPr>
        <w:t>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 декабря 2021 года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года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пункту 3 Положения для оценки заявок применяются следующие критерии оценки:</w:t>
      </w:r>
    </w:p>
    <w:p>
      <w:pPr>
        <w:pStyle w:val="Style2"/>
        <w:keepNext w:val="0"/>
        <w:keepLines w:val="0"/>
        <w:widowControl w:val="0"/>
        <w:numPr>
          <w:ilvl w:val="0"/>
          <w:numId w:val="7"/>
        </w:numPr>
        <w:shd w:val="clear" w:color="auto" w:fill="auto"/>
        <w:tabs>
          <w:tab w:pos="1067" w:val="left"/>
        </w:tabs>
        <w:bidi w:val="0"/>
        <w:spacing w:before="0" w:after="0"/>
        <w:ind w:left="0" w:right="0" w:firstLine="74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2"/>
        <w:keepNext w:val="0"/>
        <w:keepLines w:val="0"/>
        <w:widowControl w:val="0"/>
        <w:numPr>
          <w:ilvl w:val="0"/>
          <w:numId w:val="7"/>
        </w:numPr>
        <w:shd w:val="clear" w:color="auto" w:fill="auto"/>
        <w:tabs>
          <w:tab w:pos="1093" w:val="left"/>
        </w:tabs>
        <w:bidi w:val="0"/>
        <w:spacing w:before="0" w:after="0"/>
        <w:ind w:left="0" w:right="0" w:firstLine="740"/>
        <w:jc w:val="both"/>
      </w:pPr>
      <w:r>
        <w:rPr>
          <w:color w:val="000000"/>
          <w:spacing w:val="0"/>
          <w:w w:val="100"/>
          <w:position w:val="0"/>
          <w:shd w:val="clear" w:color="auto" w:fill="auto"/>
          <w:lang w:val="ru-RU" w:eastAsia="ru-RU" w:bidi="ru-RU"/>
        </w:rPr>
        <w:t>расходы;</w:t>
      </w:r>
    </w:p>
    <w:p>
      <w:pPr>
        <w:pStyle w:val="Style2"/>
        <w:keepNext w:val="0"/>
        <w:keepLines w:val="0"/>
        <w:widowControl w:val="0"/>
        <w:numPr>
          <w:ilvl w:val="0"/>
          <w:numId w:val="7"/>
        </w:numPr>
        <w:shd w:val="clear" w:color="auto" w:fill="auto"/>
        <w:tabs>
          <w:tab w:pos="1082" w:val="left"/>
        </w:tabs>
        <w:bidi w:val="0"/>
        <w:spacing w:before="0" w:after="0"/>
        <w:ind w:left="0" w:right="0" w:firstLine="740"/>
        <w:jc w:val="both"/>
      </w:pPr>
      <w:r>
        <w:rPr>
          <w:color w:val="000000"/>
          <w:spacing w:val="0"/>
          <w:w w:val="100"/>
          <w:position w:val="0"/>
          <w:shd w:val="clear" w:color="auto" w:fill="auto"/>
          <w:lang w:val="ru-RU" w:eastAsia="ru-RU" w:bidi="ru-RU"/>
        </w:rPr>
        <w:t>характеристики объекта закупки;</w:t>
      </w:r>
    </w:p>
    <w:p>
      <w:pPr>
        <w:pStyle w:val="Style2"/>
        <w:keepNext w:val="0"/>
        <w:keepLines w:val="0"/>
        <w:widowControl w:val="0"/>
        <w:numPr>
          <w:ilvl w:val="0"/>
          <w:numId w:val="7"/>
        </w:numPr>
        <w:shd w:val="clear" w:color="auto" w:fill="auto"/>
        <w:tabs>
          <w:tab w:pos="1064" w:val="left"/>
        </w:tabs>
        <w:bidi w:val="0"/>
        <w:spacing w:before="0" w:after="0"/>
        <w:ind w:left="0" w:right="0" w:firstLine="740"/>
        <w:jc w:val="both"/>
      </w:pPr>
      <w:r>
        <w:rPr>
          <w:color w:val="000000"/>
          <w:spacing w:val="0"/>
          <w:w w:val="100"/>
          <w:position w:val="0"/>
          <w:shd w:val="clear" w:color="auto" w:fill="auto"/>
          <w:lang w:val="ru-RU" w:eastAsia="ru-RU" w:bidi="ru-RU"/>
        </w:rPr>
        <w:t>квалификация участников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пунктом 8 Положения в случае применения показателей оценки по критериям оценки, предусмотренным подпунктами «в» и «г» пункта 3 Положения:</w:t>
      </w:r>
    </w:p>
    <w:p>
      <w:pPr>
        <w:pStyle w:val="Style2"/>
        <w:keepNext w:val="0"/>
        <w:keepLines w:val="0"/>
        <w:widowControl w:val="0"/>
        <w:numPr>
          <w:ilvl w:val="0"/>
          <w:numId w:val="9"/>
        </w:numPr>
        <w:shd w:val="clear" w:color="auto" w:fill="auto"/>
        <w:tabs>
          <w:tab w:pos="1071" w:val="left"/>
        </w:tabs>
        <w:bidi w:val="0"/>
        <w:spacing w:before="0" w:after="0"/>
        <w:ind w:left="0" w:right="0" w:firstLine="740"/>
        <w:jc w:val="both"/>
      </w:pPr>
      <w:r>
        <w:rPr>
          <w:color w:val="000000"/>
          <w:spacing w:val="0"/>
          <w:w w:val="100"/>
          <w:position w:val="0"/>
          <w:shd w:val="clear" w:color="auto" w:fill="auto"/>
          <w:lang w:val="ru-RU" w:eastAsia="ru-RU" w:bidi="ru-RU"/>
        </w:rPr>
        <w:t>применяются детализирующие показатели;</w:t>
      </w:r>
    </w:p>
    <w:p>
      <w:pPr>
        <w:pStyle w:val="Style2"/>
        <w:keepNext w:val="0"/>
        <w:keepLines w:val="0"/>
        <w:widowControl w:val="0"/>
        <w:numPr>
          <w:ilvl w:val="0"/>
          <w:numId w:val="9"/>
        </w:numPr>
        <w:shd w:val="clear" w:color="auto" w:fill="auto"/>
        <w:tabs>
          <w:tab w:pos="1166" w:val="left"/>
        </w:tabs>
        <w:bidi w:val="0"/>
        <w:spacing w:before="0" w:after="0"/>
        <w:ind w:left="0" w:right="0" w:firstLine="740"/>
        <w:jc w:val="both"/>
      </w:pPr>
      <w:r>
        <w:rPr>
          <w:color w:val="000000"/>
          <w:spacing w:val="0"/>
          <w:w w:val="100"/>
          <w:position w:val="0"/>
          <w:shd w:val="clear" w:color="auto" w:fill="auto"/>
          <w:lang w:val="ru-RU" w:eastAsia="ru-RU" w:bidi="ru-RU"/>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2"/>
        <w:keepNext w:val="0"/>
        <w:keepLines w:val="0"/>
        <w:widowControl w:val="0"/>
        <w:numPr>
          <w:ilvl w:val="0"/>
          <w:numId w:val="9"/>
        </w:numPr>
        <w:shd w:val="clear" w:color="auto" w:fill="auto"/>
        <w:tabs>
          <w:tab w:pos="1044" w:val="left"/>
        </w:tabs>
        <w:bidi w:val="0"/>
        <w:spacing w:before="0" w:after="0"/>
        <w:ind w:left="0" w:right="0" w:firstLine="740"/>
        <w:jc w:val="both"/>
      </w:pPr>
      <w:r>
        <w:rPr>
          <w:color w:val="000000"/>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Пунктом 16 Положения установлено, что для оценки заявок по критерию оценки «характеристики объекта закупки» могут применяться, один или несколько из следующих показателей оценки:</w:t>
      </w:r>
    </w:p>
    <w:p>
      <w:pPr>
        <w:pStyle w:val="Style2"/>
        <w:keepNext w:val="0"/>
        <w:keepLines w:val="0"/>
        <w:widowControl w:val="0"/>
        <w:numPr>
          <w:ilvl w:val="0"/>
          <w:numId w:val="11"/>
        </w:numPr>
        <w:shd w:val="clear" w:color="auto" w:fill="auto"/>
        <w:tabs>
          <w:tab w:pos="1071" w:val="left"/>
        </w:tabs>
        <w:bidi w:val="0"/>
        <w:spacing w:before="0" w:after="0"/>
        <w:ind w:left="0" w:right="0" w:firstLine="740"/>
        <w:jc w:val="both"/>
      </w:pPr>
      <w:r>
        <w:rPr>
          <w:color w:val="000000"/>
          <w:spacing w:val="0"/>
          <w:w w:val="100"/>
          <w:position w:val="0"/>
          <w:shd w:val="clear" w:color="auto" w:fill="auto"/>
          <w:lang w:val="ru-RU" w:eastAsia="ru-RU" w:bidi="ru-RU"/>
        </w:rPr>
        <w:t>качественные характеристики объекта закупки;</w:t>
      </w:r>
    </w:p>
    <w:p>
      <w:pPr>
        <w:pStyle w:val="Style2"/>
        <w:keepNext w:val="0"/>
        <w:keepLines w:val="0"/>
        <w:widowControl w:val="0"/>
        <w:numPr>
          <w:ilvl w:val="0"/>
          <w:numId w:val="11"/>
        </w:numPr>
        <w:shd w:val="clear" w:color="auto" w:fill="auto"/>
        <w:tabs>
          <w:tab w:pos="1096" w:val="left"/>
        </w:tabs>
        <w:bidi w:val="0"/>
        <w:spacing w:before="0" w:after="0"/>
        <w:ind w:left="0" w:right="0" w:firstLine="740"/>
        <w:jc w:val="both"/>
      </w:pPr>
      <w:r>
        <w:rPr>
          <w:color w:val="000000"/>
          <w:spacing w:val="0"/>
          <w:w w:val="100"/>
          <w:position w:val="0"/>
          <w:shd w:val="clear" w:color="auto" w:fill="auto"/>
          <w:lang w:val="ru-RU" w:eastAsia="ru-RU" w:bidi="ru-RU"/>
        </w:rPr>
        <w:t>функциональные характеристики объекта закупки;</w:t>
      </w:r>
    </w:p>
    <w:p>
      <w:pPr>
        <w:pStyle w:val="Style2"/>
        <w:keepNext w:val="0"/>
        <w:keepLines w:val="0"/>
        <w:widowControl w:val="0"/>
        <w:numPr>
          <w:ilvl w:val="0"/>
          <w:numId w:val="11"/>
        </w:numPr>
        <w:shd w:val="clear" w:color="auto" w:fill="auto"/>
        <w:tabs>
          <w:tab w:pos="1075" w:val="left"/>
        </w:tabs>
        <w:bidi w:val="0"/>
        <w:spacing w:before="0" w:after="0"/>
        <w:ind w:left="0" w:right="0" w:firstLine="740"/>
        <w:jc w:val="both"/>
      </w:pPr>
      <w:r>
        <w:rPr>
          <w:color w:val="000000"/>
          <w:spacing w:val="0"/>
          <w:w w:val="100"/>
          <w:position w:val="0"/>
          <w:shd w:val="clear" w:color="auto" w:fill="auto"/>
          <w:lang w:val="ru-RU" w:eastAsia="ru-RU" w:bidi="ru-RU"/>
        </w:rPr>
        <w:t>экологические характеристики объекта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пунктом 17 Положения для оценки заявок по показателям оценки, предусмотренным пунктом 16 Положения, применяются детализирующие показатели, предусматривающие оценку различных характеристик, образующих такие показатели оценки.</w:t>
      </w:r>
    </w:p>
    <w:p>
      <w:pPr>
        <w:pStyle w:val="Style2"/>
        <w:keepNext w:val="0"/>
        <w:keepLines w:val="0"/>
        <w:widowControl w:val="0"/>
        <w:shd w:val="clear" w:color="auto" w:fill="auto"/>
        <w:bidi w:val="0"/>
        <w:spacing w:before="0" w:after="0"/>
        <w:ind w:left="0" w:right="0" w:firstLine="740"/>
        <w:jc w:val="both"/>
        <w:sectPr>
          <w:footerReference w:type="default" r:id="rId7"/>
          <w:footerReference w:type="even" r:id="rId8"/>
          <w:footerReference w:type="first" r:id="rId9"/>
          <w:footnotePr>
            <w:pos w:val="pageBottom"/>
            <w:numFmt w:val="decimal"/>
            <w:numRestart w:val="continuous"/>
          </w:footnotePr>
          <w:pgSz w:w="11900" w:h="16840"/>
          <w:pgMar w:top="1020" w:right="583" w:bottom="1147" w:left="999"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В приложении 5. «Порядок оценки заявок» к извещению об осуществлении закупки установлен следующий порядок оценки заявок по показателю «Качественные, функциональные и экологические характеристики объекта закупки»:</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 (далее - характеристики объекта закупки) 40, качественные характеристики объекта закупки 100.</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Характеристика № 1: дополнительное описание поставляемых товаров 40 значение количества баллов по детализирующему показателю присваивается заявке, подлежащей в соответствии с Законом оценке по критерию оценки «характеристики объекта закупки», по шкале оценки в соответствии с пунктами. 22, 23 Положения.</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Значения количества баллов, присваиваемые участникам закупки:</w:t>
      </w:r>
    </w:p>
    <w:p>
      <w:pPr>
        <w:pStyle w:val="Style2"/>
        <w:keepNext w:val="0"/>
        <w:keepLines w:val="0"/>
        <w:widowControl w:val="0"/>
        <w:numPr>
          <w:ilvl w:val="0"/>
          <w:numId w:val="13"/>
        </w:numPr>
        <w:shd w:val="clear" w:color="auto" w:fill="auto"/>
        <w:tabs>
          <w:tab w:pos="965" w:val="left"/>
        </w:tabs>
        <w:bidi w:val="0"/>
        <w:spacing w:before="0" w:after="0" w:line="259" w:lineRule="auto"/>
        <w:ind w:left="0" w:right="0" w:firstLine="740"/>
        <w:jc w:val="both"/>
      </w:pPr>
      <w:r>
        <w:rPr>
          <w:color w:val="000000"/>
          <w:spacing w:val="0"/>
          <w:w w:val="100"/>
          <w:position w:val="0"/>
          <w:shd w:val="clear" w:color="auto" w:fill="auto"/>
          <w:lang w:val="ru-RU" w:eastAsia="ru-RU" w:bidi="ru-RU"/>
        </w:rPr>
        <w:t>100 баллов содержащей предложение о наличии характеристики объекта закупки.</w:t>
      </w:r>
    </w:p>
    <w:p>
      <w:pPr>
        <w:pStyle w:val="Style2"/>
        <w:keepNext w:val="0"/>
        <w:keepLines w:val="0"/>
        <w:widowControl w:val="0"/>
        <w:numPr>
          <w:ilvl w:val="0"/>
          <w:numId w:val="13"/>
        </w:numPr>
        <w:shd w:val="clear" w:color="auto" w:fill="auto"/>
        <w:tabs>
          <w:tab w:pos="965" w:val="left"/>
        </w:tabs>
        <w:bidi w:val="0"/>
        <w:spacing w:before="0" w:after="0" w:line="259" w:lineRule="auto"/>
        <w:ind w:left="0" w:right="0" w:firstLine="740"/>
        <w:jc w:val="both"/>
      </w:pPr>
      <w:r>
        <w:rPr>
          <w:color w:val="000000"/>
          <w:spacing w:val="0"/>
          <w:w w:val="100"/>
          <w:position w:val="0"/>
          <w:shd w:val="clear" w:color="auto" w:fill="auto"/>
          <w:lang w:val="ru-RU" w:eastAsia="ru-RU" w:bidi="ru-RU"/>
        </w:rPr>
        <w:t>0 баллов при отсутствии характеристики объекта закупки и/или предоставления информации по характеристике объекта закупки не в полном объеме.</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Характеристика № 2: указание соответствия государственным стандартам 10 значение количества баллов по детализирующему показателю присваивается заявке, подлежащей в соответствии с Законом оценке по критерию оценки «характеристики объекта закупки», но шкале оценки в соответствии с пунктами. 22, 23 Положения.</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Значения количества баллов, присваиваемые участникам закупки:</w:t>
      </w:r>
    </w:p>
    <w:p>
      <w:pPr>
        <w:pStyle w:val="Style2"/>
        <w:keepNext w:val="0"/>
        <w:keepLines w:val="0"/>
        <w:widowControl w:val="0"/>
        <w:numPr>
          <w:ilvl w:val="0"/>
          <w:numId w:val="13"/>
        </w:numPr>
        <w:shd w:val="clear" w:color="auto" w:fill="auto"/>
        <w:tabs>
          <w:tab w:pos="965" w:val="left"/>
        </w:tabs>
        <w:bidi w:val="0"/>
        <w:spacing w:before="0" w:after="0" w:line="259" w:lineRule="auto"/>
        <w:ind w:left="0" w:right="0" w:firstLine="740"/>
        <w:jc w:val="both"/>
      </w:pPr>
      <w:r>
        <w:rPr>
          <w:color w:val="000000"/>
          <w:spacing w:val="0"/>
          <w:w w:val="100"/>
          <w:position w:val="0"/>
          <w:shd w:val="clear" w:color="auto" w:fill="auto"/>
          <w:lang w:val="ru-RU" w:eastAsia="ru-RU" w:bidi="ru-RU"/>
        </w:rPr>
        <w:t>100 баллов содержащей предложение о наличии характеристики объекта закупки.</w:t>
      </w:r>
    </w:p>
    <w:p>
      <w:pPr>
        <w:pStyle w:val="Style2"/>
        <w:keepNext w:val="0"/>
        <w:keepLines w:val="0"/>
        <w:widowControl w:val="0"/>
        <w:numPr>
          <w:ilvl w:val="0"/>
          <w:numId w:val="13"/>
        </w:numPr>
        <w:shd w:val="clear" w:color="auto" w:fill="auto"/>
        <w:tabs>
          <w:tab w:pos="965" w:val="left"/>
        </w:tabs>
        <w:bidi w:val="0"/>
        <w:spacing w:before="0" w:after="0" w:line="259" w:lineRule="auto"/>
        <w:ind w:left="0" w:right="0" w:firstLine="740"/>
        <w:jc w:val="both"/>
      </w:pPr>
      <w:r>
        <w:rPr>
          <w:color w:val="000000"/>
          <w:spacing w:val="0"/>
          <w:w w:val="100"/>
          <w:position w:val="0"/>
          <w:shd w:val="clear" w:color="auto" w:fill="auto"/>
          <w:lang w:val="ru-RU" w:eastAsia="ru-RU" w:bidi="ru-RU"/>
        </w:rPr>
        <w:t>0 баллов при отсутствии характеристики объекта закупки и/или предоставления информации по характеристике объекта закупки не в полном объеме.</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Характеристика № 3: описание функциональных свойств поставляемых товаров 20 значение количества баллов по детализирующему показателю присваивается заявке, подлежащей в соответствии с Законом оценке по критерию оценки «характеристики объекта закупки», по шкале оценки в соответствии с пунктами. 22, 23 Положения.</w:t>
      </w:r>
    </w:p>
    <w:p>
      <w:pPr>
        <w:pStyle w:val="Style2"/>
        <w:keepNext w:val="0"/>
        <w:keepLines w:val="0"/>
        <w:widowControl w:val="0"/>
        <w:shd w:val="clear" w:color="auto" w:fill="auto"/>
        <w:bidi w:val="0"/>
        <w:spacing w:before="0" w:after="0" w:line="259" w:lineRule="auto"/>
        <w:ind w:left="0" w:right="0" w:firstLine="680"/>
        <w:jc w:val="both"/>
      </w:pPr>
      <w:r>
        <w:rPr>
          <w:color w:val="000000"/>
          <w:spacing w:val="0"/>
          <w:w w:val="100"/>
          <w:position w:val="0"/>
          <w:shd w:val="clear" w:color="auto" w:fill="auto"/>
          <w:lang w:val="ru-RU" w:eastAsia="ru-RU" w:bidi="ru-RU"/>
        </w:rPr>
        <w:t>Значения количества баллов, присваиваемые участникам закупки:</w:t>
      </w:r>
    </w:p>
    <w:p>
      <w:pPr>
        <w:pStyle w:val="Style2"/>
        <w:keepNext w:val="0"/>
        <w:keepLines w:val="0"/>
        <w:widowControl w:val="0"/>
        <w:numPr>
          <w:ilvl w:val="0"/>
          <w:numId w:val="13"/>
        </w:numPr>
        <w:shd w:val="clear" w:color="auto" w:fill="auto"/>
        <w:tabs>
          <w:tab w:pos="965" w:val="left"/>
        </w:tabs>
        <w:bidi w:val="0"/>
        <w:spacing w:before="0" w:after="0" w:line="259" w:lineRule="auto"/>
        <w:ind w:left="0" w:right="0" w:firstLine="740"/>
        <w:jc w:val="both"/>
      </w:pPr>
      <w:r>
        <w:rPr>
          <w:color w:val="000000"/>
          <w:spacing w:val="0"/>
          <w:w w:val="100"/>
          <w:position w:val="0"/>
          <w:shd w:val="clear" w:color="auto" w:fill="auto"/>
          <w:lang w:val="ru-RU" w:eastAsia="ru-RU" w:bidi="ru-RU"/>
        </w:rPr>
        <w:t>100 баллов содержащей предложение о наличии характеристики объекта закупки.</w:t>
      </w:r>
    </w:p>
    <w:p>
      <w:pPr>
        <w:pStyle w:val="Style2"/>
        <w:keepNext w:val="0"/>
        <w:keepLines w:val="0"/>
        <w:widowControl w:val="0"/>
        <w:numPr>
          <w:ilvl w:val="0"/>
          <w:numId w:val="13"/>
        </w:numPr>
        <w:shd w:val="clear" w:color="auto" w:fill="auto"/>
        <w:tabs>
          <w:tab w:pos="965" w:val="left"/>
        </w:tabs>
        <w:bidi w:val="0"/>
        <w:spacing w:before="0" w:after="0" w:line="259" w:lineRule="auto"/>
        <w:ind w:left="0" w:right="0" w:firstLine="740"/>
        <w:jc w:val="both"/>
      </w:pPr>
      <w:r>
        <w:rPr>
          <w:color w:val="000000"/>
          <w:spacing w:val="0"/>
          <w:w w:val="100"/>
          <w:position w:val="0"/>
          <w:shd w:val="clear" w:color="auto" w:fill="auto"/>
          <w:lang w:val="ru-RU" w:eastAsia="ru-RU" w:bidi="ru-RU"/>
        </w:rPr>
        <w:t>0 баллов при отсутствии характеристики объекта закупки и/или предоставления информации по характеристике объекта закупки не в полном объеме.</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Характеристика № 4: Описание экологических характеристик материалов товаров 30 значение количества баллов по детализирующему показателю присваивается заявке, подлежащей в соответствии с Законом оценке по критерию оценки «характеристики объекта закупки», по шкале оценки в соответствии с пунктами. 22, 23 Положения.</w:t>
      </w:r>
    </w:p>
    <w:p>
      <w:pPr>
        <w:pStyle w:val="Style2"/>
        <w:keepNext w:val="0"/>
        <w:keepLines w:val="0"/>
        <w:widowControl w:val="0"/>
        <w:shd w:val="clear" w:color="auto" w:fill="auto"/>
        <w:bidi w:val="0"/>
        <w:spacing w:before="0" w:after="0" w:line="259" w:lineRule="auto"/>
        <w:ind w:left="0" w:right="0" w:firstLine="680"/>
        <w:jc w:val="both"/>
      </w:pPr>
      <w:r>
        <w:rPr>
          <w:color w:val="000000"/>
          <w:spacing w:val="0"/>
          <w:w w:val="100"/>
          <w:position w:val="0"/>
          <w:shd w:val="clear" w:color="auto" w:fill="auto"/>
          <w:lang w:val="ru-RU" w:eastAsia="ru-RU" w:bidi="ru-RU"/>
        </w:rPr>
        <w:t>Значения количества баллов, присваиваемые участникам закупки:</w:t>
      </w:r>
    </w:p>
    <w:p>
      <w:pPr>
        <w:pStyle w:val="Style2"/>
        <w:keepNext w:val="0"/>
        <w:keepLines w:val="0"/>
        <w:widowControl w:val="0"/>
        <w:numPr>
          <w:ilvl w:val="0"/>
          <w:numId w:val="13"/>
        </w:numPr>
        <w:shd w:val="clear" w:color="auto" w:fill="auto"/>
        <w:tabs>
          <w:tab w:pos="965" w:val="left"/>
        </w:tabs>
        <w:bidi w:val="0"/>
        <w:spacing w:before="0" w:after="0" w:line="259" w:lineRule="auto"/>
        <w:ind w:left="0" w:right="0" w:firstLine="740"/>
        <w:jc w:val="both"/>
      </w:pPr>
      <w:r>
        <w:rPr>
          <w:color w:val="000000"/>
          <w:spacing w:val="0"/>
          <w:w w:val="100"/>
          <w:position w:val="0"/>
          <w:shd w:val="clear" w:color="auto" w:fill="auto"/>
          <w:lang w:val="ru-RU" w:eastAsia="ru-RU" w:bidi="ru-RU"/>
        </w:rPr>
        <w:t>100 баллов присваивается заявке содержащей предложение о наличии характеристики объекта закупки.</w:t>
      </w:r>
    </w:p>
    <w:p>
      <w:pPr>
        <w:pStyle w:val="Style2"/>
        <w:keepNext w:val="0"/>
        <w:keepLines w:val="0"/>
        <w:widowControl w:val="0"/>
        <w:numPr>
          <w:ilvl w:val="0"/>
          <w:numId w:val="13"/>
        </w:numPr>
        <w:shd w:val="clear" w:color="auto" w:fill="auto"/>
        <w:tabs>
          <w:tab w:pos="965" w:val="left"/>
        </w:tabs>
        <w:bidi w:val="0"/>
        <w:spacing w:before="0" w:after="0" w:line="259" w:lineRule="auto"/>
        <w:ind w:left="0" w:right="0" w:firstLine="740"/>
        <w:jc w:val="both"/>
      </w:pPr>
      <w:r>
        <w:rPr>
          <w:color w:val="000000"/>
          <w:spacing w:val="0"/>
          <w:w w:val="100"/>
          <w:position w:val="0"/>
          <w:shd w:val="clear" w:color="auto" w:fill="auto"/>
          <w:lang w:val="ru-RU" w:eastAsia="ru-RU" w:bidi="ru-RU"/>
        </w:rPr>
        <w:t>0 баллов присваивается при отсутствии характеристики объекта закупки и/или предоставления информации по характеристике объекта закупки не в полном объеме.</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В соответствии с пунктом 5 части 4 статьи 105 Закона о контрактной системе при проведении электронных процедур жалоба должна содержать указание на обжалуемые действия (бездействие) субъекта (субъектов) контроля, доводы жалобы.</w:t>
      </w:r>
      <w:r>
        <w:br w:type="page"/>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Заявитель на рассмотрение жалобы не явился и доводы, свидетельствующие о нарушении указанными действиями Заказчика норм Закона о контрактной системе и ограничивающие количество участников закупки не представил.</w:t>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Таким образом, Комиссия приходит к выводу о необоснованности довода жалобы Заявителя.</w:t>
      </w:r>
    </w:p>
    <w:p>
      <w:pPr>
        <w:pStyle w:val="Style2"/>
        <w:keepNext w:val="0"/>
        <w:keepLines w:val="0"/>
        <w:widowControl w:val="0"/>
        <w:shd w:val="clear" w:color="auto" w:fill="auto"/>
        <w:bidi w:val="0"/>
        <w:spacing w:before="0" w:after="220" w:line="262" w:lineRule="auto"/>
        <w:ind w:left="0" w:right="0" w:firstLine="680"/>
        <w:jc w:val="both"/>
      </w:pPr>
      <w:r>
        <w:rPr>
          <w:color w:val="000000"/>
          <w:spacing w:val="0"/>
          <w:w w:val="100"/>
          <w:position w:val="0"/>
          <w:shd w:val="clear" w:color="auto" w:fill="auto"/>
          <w:lang w:val="ru-RU" w:eastAsia="ru-RU" w:bidi="ru-RU"/>
        </w:rPr>
        <w:t>Руководствуясь статьями 99, 106 Закона о контрактной системе, Комиссия,</w:t>
      </w:r>
    </w:p>
    <w:p>
      <w:pPr>
        <w:pStyle w:val="Style2"/>
        <w:keepNext w:val="0"/>
        <w:keepLines w:val="0"/>
        <w:widowControl w:val="0"/>
        <w:shd w:val="clear" w:color="auto" w:fill="auto"/>
        <w:bidi w:val="0"/>
        <w:spacing w:before="0" w:after="220" w:line="262" w:lineRule="auto"/>
        <w:ind w:left="0" w:right="0" w:firstLine="0"/>
        <w:jc w:val="center"/>
      </w:pPr>
      <w:r>
        <w:rPr>
          <w:color w:val="000000"/>
          <w:spacing w:val="0"/>
          <w:w w:val="100"/>
          <w:position w:val="0"/>
          <w:shd w:val="clear" w:color="auto" w:fill="auto"/>
          <w:lang w:val="ru-RU" w:eastAsia="ru-RU" w:bidi="ru-RU"/>
        </w:rPr>
        <w:t>РЕШИЛА:</w:t>
      </w:r>
    </w:p>
    <w:p>
      <w:pPr>
        <w:pStyle w:val="Style2"/>
        <w:keepNext w:val="0"/>
        <w:keepLines w:val="0"/>
        <w:widowControl w:val="0"/>
        <w:numPr>
          <w:ilvl w:val="0"/>
          <w:numId w:val="15"/>
        </w:numPr>
        <w:shd w:val="clear" w:color="auto" w:fill="auto"/>
        <w:tabs>
          <w:tab w:pos="1012" w:val="left"/>
        </w:tabs>
        <w:bidi w:val="0"/>
        <w:spacing w:before="0" w:after="0" w:line="262" w:lineRule="auto"/>
        <w:ind w:left="0" w:right="0" w:firstLine="680"/>
        <w:jc w:val="both"/>
      </w:pPr>
      <w:r>
        <w:rPr>
          <w:color w:val="000000"/>
          <w:spacing w:val="0"/>
          <w:w w:val="100"/>
          <w:position w:val="0"/>
          <w:shd w:val="clear" w:color="auto" w:fill="auto"/>
          <w:lang w:val="ru-RU" w:eastAsia="ru-RU" w:bidi="ru-RU"/>
        </w:rPr>
        <w:t>Жалобу Заявителя признать обоснованной частично.</w:t>
      </w:r>
    </w:p>
    <w:p>
      <w:pPr>
        <w:pStyle w:val="Style2"/>
        <w:keepNext w:val="0"/>
        <w:keepLines w:val="0"/>
        <w:widowControl w:val="0"/>
        <w:numPr>
          <w:ilvl w:val="0"/>
          <w:numId w:val="15"/>
        </w:numPr>
        <w:shd w:val="clear" w:color="auto" w:fill="auto"/>
        <w:tabs>
          <w:tab w:pos="1056" w:val="left"/>
        </w:tabs>
        <w:bidi w:val="0"/>
        <w:spacing w:before="0" w:after="0" w:line="262"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части 8 статьи 32 Закона о контрактной системе.</w:t>
      </w:r>
    </w:p>
    <w:p>
      <w:pPr>
        <w:pStyle w:val="Style2"/>
        <w:keepNext w:val="0"/>
        <w:keepLines w:val="0"/>
        <w:widowControl w:val="0"/>
        <w:numPr>
          <w:ilvl w:val="0"/>
          <w:numId w:val="15"/>
        </w:numPr>
        <w:shd w:val="clear" w:color="auto" w:fill="auto"/>
        <w:tabs>
          <w:tab w:pos="1063" w:val="left"/>
        </w:tabs>
        <w:bidi w:val="0"/>
        <w:spacing w:before="0" w:after="0" w:line="262" w:lineRule="auto"/>
        <w:ind w:left="0" w:right="0" w:firstLine="700"/>
        <w:jc w:val="both"/>
      </w:pPr>
      <w:r>
        <w:rPr>
          <w:color w:val="000000"/>
          <w:spacing w:val="0"/>
          <w:w w:val="100"/>
          <w:position w:val="0"/>
          <w:shd w:val="clear" w:color="auto" w:fill="auto"/>
          <w:lang w:val="ru-RU" w:eastAsia="ru-RU" w:bidi="ru-RU"/>
        </w:rPr>
        <w:t>Предписание об устранении выявленных нарушений законодательства о контрактной системе в сфере закупок не выдавать в связи с тем, что Госфинконтролем РД по данной закупке выдано предписание №05-108/Р/2023 от 12 декабря 2023 года.</w:t>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Госфинконтроля РД для рассмотрения вопроса о привлечении виновных лиц к административной ответственности.</w:t>
      </w:r>
    </w:p>
    <w:p>
      <w:pPr>
        <w:pStyle w:val="Style2"/>
        <w:keepNext w:val="0"/>
        <w:keepLines w:val="0"/>
        <w:widowControl w:val="0"/>
        <w:shd w:val="clear" w:color="auto" w:fill="auto"/>
        <w:bidi w:val="0"/>
        <w:spacing w:before="0" w:after="0" w:line="262" w:lineRule="auto"/>
        <w:ind w:left="0" w:right="0" w:firstLine="700"/>
        <w:jc w:val="both"/>
        <w:sectPr>
          <w:footerReference w:type="default" r:id="rId10"/>
          <w:footerReference w:type="even" r:id="rId11"/>
          <w:footnotePr>
            <w:pos w:val="pageBottom"/>
            <w:numFmt w:val="decimal"/>
            <w:numRestart w:val="continuous"/>
          </w:footnotePr>
          <w:type w:val="continuous"/>
          <w:pgSz w:w="11900" w:h="16840"/>
          <w:pgMar w:top="1020" w:right="583" w:bottom="1147" w:left="999" w:header="592" w:footer="3" w:gutter="0"/>
          <w:cols w:space="720"/>
          <w:noEndnote/>
          <w:rtlGutter w:val="0"/>
          <w:docGrid w:linePitch="360"/>
        </w:sectPr>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11" w:right="0" w:bottom="673" w:left="0" w:header="0" w:footer="3" w:gutter="0"/>
          <w:cols w:space="720"/>
          <w:noEndnote/>
          <w:rtlGutter w:val="0"/>
          <w:docGrid w:linePitch="360"/>
        </w:sectPr>
      </w:pPr>
    </w:p>
    <w:p>
      <w:pPr>
        <w:pStyle w:val="Style2"/>
        <w:keepNext w:val="0"/>
        <w:keepLines w:val="0"/>
        <w:framePr w:w="3103" w:h="328" w:wrap="none" w:vAnchor="text" w:hAnchor="page" w:x="1062" w:y="10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Председатель Комиссии</w:t>
      </w:r>
    </w:p>
    <w:p>
      <w:pPr>
        <w:pStyle w:val="Style15"/>
        <w:keepNext w:val="0"/>
        <w:keepLines w:val="0"/>
        <w:framePr w:w="1415" w:h="320" w:wrap="none" w:vAnchor="text" w:hAnchor="page" w:x="8844" w:y="12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Р.М. Агаев</w:t>
      </w:r>
    </w:p>
    <w:p>
      <w:pPr>
        <w:widowControl w:val="0"/>
        <w:spacing w:line="360" w:lineRule="exact"/>
      </w:pPr>
      <w:r>
        <w:drawing>
          <wp:anchor distT="0" distB="0" distL="0" distR="1104265" simplePos="0" relativeHeight="62914698" behindDoc="1" locked="0" layoutInCell="1" allowOverlap="1">
            <wp:simplePos x="0" y="0"/>
            <wp:positionH relativeFrom="page">
              <wp:posOffset>3320415</wp:posOffset>
            </wp:positionH>
            <wp:positionV relativeFrom="paragraph">
              <wp:posOffset>12700</wp:posOffset>
            </wp:positionV>
            <wp:extent cx="2091055" cy="54864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2"/>
                    <a:stretch/>
                  </pic:blipFill>
                  <pic:spPr>
                    <a:xfrm>
                      <a:ext cx="2091055" cy="548640"/>
                    </a:xfrm>
                    <a:prstGeom prst="rect"/>
                  </pic:spPr>
                </pic:pic>
              </a:graphicData>
            </a:graphic>
          </wp:anchor>
        </w:drawing>
      </w:r>
    </w:p>
    <w:p>
      <w:pPr>
        <w:widowControl w:val="0"/>
        <w:spacing w:after="503" w:line="1" w:lineRule="exact"/>
      </w:pPr>
    </w:p>
    <w:p>
      <w:pPr>
        <w:widowControl w:val="0"/>
        <w:spacing w:line="1" w:lineRule="exact"/>
        <w:sectPr>
          <w:footnotePr>
            <w:pos w:val="pageBottom"/>
            <w:numFmt w:val="decimal"/>
            <w:numRestart w:val="continuous"/>
          </w:footnotePr>
          <w:type w:val="continuous"/>
          <w:pgSz w:w="11900" w:h="16840"/>
          <w:pgMar w:top="1011" w:right="614" w:bottom="673" w:left="1019" w:header="0" w:footer="3" w:gutter="0"/>
          <w:cols w:space="720"/>
          <w:noEndnote/>
          <w:rtlGutter w:val="0"/>
          <w:docGrid w:linePitch="360"/>
        </w:sectPr>
      </w:pPr>
    </w:p>
    <w:p>
      <w:pPr>
        <w:widowControl w:val="0"/>
        <w:spacing w:line="1" w:lineRule="exact"/>
      </w:pPr>
      <w:r>
        <w:drawing>
          <wp:anchor distT="0" distB="0" distL="0" distR="1291590" simplePos="0" relativeHeight="125829383" behindDoc="0" locked="0" layoutInCell="1" allowOverlap="1">
            <wp:simplePos x="0" y="0"/>
            <wp:positionH relativeFrom="page">
              <wp:posOffset>3933190</wp:posOffset>
            </wp:positionH>
            <wp:positionV relativeFrom="paragraph">
              <wp:posOffset>12700</wp:posOffset>
            </wp:positionV>
            <wp:extent cx="1627505" cy="1029970"/>
            <wp:wrapSquare wrapText="bothSides"/>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4"/>
                    <a:stretch/>
                  </pic:blipFill>
                  <pic:spPr>
                    <a:xfrm>
                      <a:ext cx="1627505" cy="10299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5615940</wp:posOffset>
                </wp:positionH>
                <wp:positionV relativeFrom="paragraph">
                  <wp:posOffset>85725</wp:posOffset>
                </wp:positionV>
                <wp:extent cx="1179830" cy="203200"/>
                <wp:wrapNone/>
                <wp:docPr id="19" name="Shape 19"/>
                <a:graphic xmlns:a="http://schemas.openxmlformats.org/drawingml/2006/main">
                  <a:graphicData uri="http://schemas.microsoft.com/office/word/2010/wordprocessingShape">
                    <wps:wsp>
                      <wps:cNvSpPr txBox="1"/>
                      <wps:spPr>
                        <a:xfrm>
                          <a:ext cx="1179830" cy="2032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С.Б. Раджабов</w:t>
                            </w:r>
                          </w:p>
                        </w:txbxContent>
                      </wps:txbx>
                      <wps:bodyPr lIns="0" tIns="0" rIns="0" bIns="0">
                        <a:noAutoFit/>
                      </wps:bodyPr>
                    </wps:wsp>
                  </a:graphicData>
                </a:graphic>
              </wp:anchor>
            </w:drawing>
          </mc:Choice>
          <mc:Fallback>
            <w:pict>
              <v:shape id="_x0000_s1045" type="#_x0000_t202" style="position:absolute;margin-left:442.19999999999999pt;margin-top:6.75pt;width:92.900000000000006pt;height:16.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С.Б. Раджабов</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5615940</wp:posOffset>
                </wp:positionH>
                <wp:positionV relativeFrom="paragraph">
                  <wp:posOffset>702945</wp:posOffset>
                </wp:positionV>
                <wp:extent cx="1234440" cy="212725"/>
                <wp:wrapNone/>
                <wp:docPr id="21" name="Shape 21"/>
                <a:graphic xmlns:a="http://schemas.openxmlformats.org/drawingml/2006/main">
                  <a:graphicData uri="http://schemas.microsoft.com/office/word/2010/wordprocessingShape">
                    <wps:wsp>
                      <wps:cNvSpPr txBox="1"/>
                      <wps:spPr>
                        <a:xfrm>
                          <a:ext cx="1234440" cy="2127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 Курбанов</w:t>
                            </w:r>
                          </w:p>
                        </w:txbxContent>
                      </wps:txbx>
                      <wps:bodyPr lIns="0" tIns="0" rIns="0" bIns="0">
                        <a:noAutoFit/>
                      </wps:bodyPr>
                    </wps:wsp>
                  </a:graphicData>
                </a:graphic>
              </wp:anchor>
            </w:drawing>
          </mc:Choice>
          <mc:Fallback>
            <w:pict>
              <v:shape id="_x0000_s1047" type="#_x0000_t202" style="position:absolute;margin-left:442.19999999999999pt;margin-top:55.350000000000001pt;width:97.200000000000003pt;height:16.75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 Курбанов</w:t>
                      </w:r>
                    </w:p>
                  </w:txbxContent>
                </v:textbox>
                <w10:wrap anchorx="page"/>
              </v:shape>
            </w:pict>
          </mc:Fallback>
        </mc:AlternateConten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1011" w:right="5712" w:bottom="1011" w:left="101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7096125</wp:posOffset>
              </wp:positionH>
              <wp:positionV relativeFrom="page">
                <wp:posOffset>10191750</wp:posOffset>
              </wp:positionV>
              <wp:extent cx="45720" cy="86995"/>
              <wp:wrapNone/>
              <wp:docPr id="7" name="Shape 7"/>
              <a:graphic xmlns:a="http://schemas.openxmlformats.org/drawingml/2006/main">
                <a:graphicData uri="http://schemas.microsoft.com/office/word/2010/wordprocessingShape">
                  <wps:wsp>
                    <wps:cNvSpPr txBox="1"/>
                    <wps:spPr>
                      <a:xfrm>
                        <a:ext cx="45720" cy="869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Tahoma" w:eastAsia="Tahoma" w:hAnsi="Tahoma" w:cs="Tahoma"/>
                              <w:color w:val="000000"/>
                              <w:spacing w:val="0"/>
                              <w:w w:val="100"/>
                              <w:position w:val="0"/>
                              <w:sz w:val="18"/>
                              <w:szCs w:val="18"/>
                              <w:shd w:val="clear" w:color="auto" w:fill="auto"/>
                              <w:lang w:val="ru-RU" w:eastAsia="ru-RU" w:bidi="ru-RU"/>
                            </w:rPr>
                            <w:t>з</w:t>
                          </w:r>
                        </w:p>
                      </w:txbxContent>
                    </wps:txbx>
                    <wps:bodyPr wrap="none" lIns="0" tIns="0" rIns="0" bIns="0">
                      <a:spAutoFit/>
                    </wps:bodyPr>
                  </wps:wsp>
                </a:graphicData>
              </a:graphic>
            </wp:anchor>
          </w:drawing>
        </mc:Choice>
        <mc:Fallback>
          <w:pict>
            <v:shape id="_x0000_s1033" type="#_x0000_t202" style="position:absolute;margin-left:558.75pt;margin-top:802.5pt;width:3.6000000000000001pt;height:6.8500000000000005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Tahoma" w:eastAsia="Tahoma" w:hAnsi="Tahoma" w:cs="Tahoma"/>
                        <w:color w:val="000000"/>
                        <w:spacing w:val="0"/>
                        <w:w w:val="100"/>
                        <w:position w:val="0"/>
                        <w:sz w:val="18"/>
                        <w:szCs w:val="18"/>
                        <w:shd w:val="clear" w:color="auto" w:fill="auto"/>
                        <w:lang w:val="ru-RU" w:eastAsia="ru-RU" w:bidi="ru-RU"/>
                      </w:rPr>
                      <w:t>з</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7093585</wp:posOffset>
              </wp:positionH>
              <wp:positionV relativeFrom="page">
                <wp:posOffset>10205720</wp:posOffset>
              </wp:positionV>
              <wp:extent cx="50165" cy="86995"/>
              <wp:wrapNone/>
              <wp:docPr id="9" name="Shape 9"/>
              <a:graphic xmlns:a="http://schemas.openxmlformats.org/drawingml/2006/main">
                <a:graphicData uri="http://schemas.microsoft.com/office/word/2010/wordprocessingShape">
                  <wps:wsp>
                    <wps:cNvSpPr txBox="1"/>
                    <wps:spPr>
                      <a:xfrm>
                        <a:ext cx="50165" cy="869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Tahoma" w:eastAsia="Tahoma" w:hAnsi="Tahoma" w:cs="Tahoma"/>
                                <w:color w:val="000000"/>
                                <w:spacing w:val="0"/>
                                <w:w w:val="100"/>
                                <w:position w:val="0"/>
                                <w:sz w:val="18"/>
                                <w:szCs w:val="1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558.55000000000007pt;margin-top:803.60000000000002pt;width:3.9500000000000002pt;height:6.8500000000000005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Tahoma" w:eastAsia="Tahoma" w:hAnsi="Tahoma" w:cs="Tahoma"/>
                          <w:color w:val="000000"/>
                          <w:spacing w:val="0"/>
                          <w:w w:val="100"/>
                          <w:position w:val="0"/>
                          <w:sz w:val="18"/>
                          <w:szCs w:val="18"/>
                          <w:shd w:val="clear" w:color="auto" w:fill="auto"/>
                          <w:lang w:val="ru-RU" w:eastAsia="ru-RU" w:bidi="ru-RU"/>
                        </w:rPr>
                        <w:t>#</w:t>
                      </w:r>
                    </w:fldSimple>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7093585</wp:posOffset>
              </wp:positionH>
              <wp:positionV relativeFrom="page">
                <wp:posOffset>10205720</wp:posOffset>
              </wp:positionV>
              <wp:extent cx="50165" cy="86995"/>
              <wp:wrapNone/>
              <wp:docPr id="11" name="Shape 11"/>
              <a:graphic xmlns:a="http://schemas.openxmlformats.org/drawingml/2006/main">
                <a:graphicData uri="http://schemas.microsoft.com/office/word/2010/wordprocessingShape">
                  <wps:wsp>
                    <wps:cNvSpPr txBox="1"/>
                    <wps:spPr>
                      <a:xfrm>
                        <a:ext cx="50165" cy="869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Tahoma" w:eastAsia="Tahoma" w:hAnsi="Tahoma" w:cs="Tahoma"/>
                                <w:color w:val="000000"/>
                                <w:spacing w:val="0"/>
                                <w:w w:val="100"/>
                                <w:position w:val="0"/>
                                <w:sz w:val="18"/>
                                <w:szCs w:val="1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558.55000000000007pt;margin-top:803.60000000000002pt;width:3.9500000000000002pt;height:6.8500000000000005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Tahoma" w:eastAsia="Tahoma" w:hAnsi="Tahoma" w:cs="Tahoma"/>
                          <w:color w:val="000000"/>
                          <w:spacing w:val="0"/>
                          <w:w w:val="100"/>
                          <w:position w:val="0"/>
                          <w:sz w:val="18"/>
                          <w:szCs w:val="18"/>
                          <w:shd w:val="clear" w:color="auto" w:fill="auto"/>
                          <w:lang w:val="ru-RU" w:eastAsia="ru-RU" w:bidi="ru-RU"/>
                        </w:rPr>
                        <w:t>#</w:t>
                      </w:r>
                    </w:fldSimple>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7093585</wp:posOffset>
              </wp:positionH>
              <wp:positionV relativeFrom="page">
                <wp:posOffset>10205720</wp:posOffset>
              </wp:positionV>
              <wp:extent cx="50165" cy="86995"/>
              <wp:wrapNone/>
              <wp:docPr id="13" name="Shape 13"/>
              <a:graphic xmlns:a="http://schemas.openxmlformats.org/drawingml/2006/main">
                <a:graphicData uri="http://schemas.microsoft.com/office/word/2010/wordprocessingShape">
                  <wps:wsp>
                    <wps:cNvSpPr txBox="1"/>
                    <wps:spPr>
                      <a:xfrm>
                        <a:ext cx="50165" cy="869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Tahoma" w:eastAsia="Tahoma" w:hAnsi="Tahoma" w:cs="Tahoma"/>
                                <w:color w:val="000000"/>
                                <w:spacing w:val="0"/>
                                <w:w w:val="100"/>
                                <w:position w:val="0"/>
                                <w:sz w:val="18"/>
                                <w:szCs w:val="1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558.55000000000007pt;margin-top:803.60000000000002pt;width:3.9500000000000002pt;height:6.8500000000000005pt;z-index:-18874405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Tahoma" w:eastAsia="Tahoma" w:hAnsi="Tahoma" w:cs="Tahoma"/>
                          <w:color w:val="000000"/>
                          <w:spacing w:val="0"/>
                          <w:w w:val="100"/>
                          <w:position w:val="0"/>
                          <w:sz w:val="18"/>
                          <w:szCs w:val="18"/>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2"/>
      <w:szCs w:val="22"/>
      <w:u w:val="none"/>
    </w:rPr>
  </w:style>
  <w:style w:type="character" w:customStyle="1" w:styleId="CharStyle9">
    <w:name w:val="Заголовок №1_"/>
    <w:basedOn w:val="DefaultParagraphFont"/>
    <w:link w:val="Style8"/>
    <w:rPr>
      <w:rFonts w:ascii="Times New Roman" w:eastAsia="Times New Roman" w:hAnsi="Times New Roman" w:cs="Times New Roman"/>
      <w:b w:val="0"/>
      <w:bCs w:val="0"/>
      <w:i w:val="0"/>
      <w:iCs w:val="0"/>
      <w:smallCaps w:val="0"/>
      <w:strike w:val="0"/>
      <w:color w:val="1D1B34"/>
      <w:sz w:val="34"/>
      <w:szCs w:val="34"/>
      <w:u w:val="singl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bCs/>
      <w:i w:val="0"/>
      <w:iCs w:val="0"/>
      <w:smallCaps w:val="0"/>
      <w:strike w:val="0"/>
      <w:sz w:val="26"/>
      <w:szCs w:val="26"/>
      <w:u w:val="none"/>
    </w:rPr>
  </w:style>
  <w:style w:type="paragraph" w:customStyle="1" w:styleId="Style2">
    <w:name w:val="Основной текст"/>
    <w:basedOn w:val="Normal"/>
    <w:link w:val="CharStyle3"/>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Основной текст (2)"/>
    <w:basedOn w:val="Normal"/>
    <w:link w:val="CharStyle6"/>
    <w:pPr>
      <w:widowControl w:val="0"/>
      <w:shd w:val="clear" w:color="auto" w:fill="auto"/>
      <w:jc w:val="center"/>
    </w:pPr>
    <w:rPr>
      <w:rFonts w:ascii="Times New Roman" w:eastAsia="Times New Roman" w:hAnsi="Times New Roman" w:cs="Times New Roman"/>
      <w:b w:val="0"/>
      <w:bCs w:val="0"/>
      <w:i w:val="0"/>
      <w:iCs w:val="0"/>
      <w:smallCaps w:val="0"/>
      <w:strike w:val="0"/>
      <w:sz w:val="22"/>
      <w:szCs w:val="22"/>
      <w:u w:val="none"/>
    </w:rPr>
  </w:style>
  <w:style w:type="paragraph" w:customStyle="1" w:styleId="Style8">
    <w:name w:val="Заголовок №1"/>
    <w:basedOn w:val="Normal"/>
    <w:link w:val="CharStyle9"/>
    <w:pPr>
      <w:widowControl w:val="0"/>
      <w:shd w:val="clear" w:color="auto" w:fill="auto"/>
      <w:spacing w:after="560"/>
      <w:outlineLvl w:val="0"/>
    </w:pPr>
    <w:rPr>
      <w:rFonts w:ascii="Times New Roman" w:eastAsia="Times New Roman" w:hAnsi="Times New Roman" w:cs="Times New Roman"/>
      <w:b w:val="0"/>
      <w:bCs w:val="0"/>
      <w:i w:val="0"/>
      <w:iCs w:val="0"/>
      <w:smallCaps w:val="0"/>
      <w:strike w:val="0"/>
      <w:color w:val="1D1B34"/>
      <w:sz w:val="34"/>
      <w:szCs w:val="34"/>
      <w:u w:val="singl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Подпись к картинке"/>
    <w:basedOn w:val="Normal"/>
    <w:link w:val="CharStyle16"/>
    <w:pPr>
      <w:widowControl w:val="0"/>
      <w:shd w:val="clear" w:color="auto" w:fill="auto"/>
    </w:pPr>
    <w:rPr>
      <w:rFonts w:ascii="Times New Roman" w:eastAsia="Times New Roman" w:hAnsi="Times New Roman" w:cs="Times New Roman"/>
      <w:b/>
      <w:bCs/>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image" Target="media/image2.jpeg"/><Relationship Id="rId13" Type="http://schemas.openxmlformats.org/officeDocument/2006/relationships/image" Target="media/image2.jpeg" TargetMode="External"/><Relationship Id="rId14" Type="http://schemas.openxmlformats.org/officeDocument/2006/relationships/image" Target="media/image3.jpeg"/><Relationship Id="rId15" Type="http://schemas.openxmlformats.org/officeDocument/2006/relationships/image" Target="media/image3.jpeg" TargetMode="External"/></Relationships>
</file>