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Межрегиональное управление</w:t>
        <w:br/>
        <w:t>Федеральной антимонопольной службы</w:t>
        <w:br/>
        <w:t>по Ярославской области</w:t>
        <w:br/>
        <w:t>и Костромской области</w:t>
      </w:r>
    </w:p>
    <w:p>
      <w:pPr>
        <w:pStyle w:val="Style7"/>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Свободы ул., д. 46, г. Ярославль, 150999</w:t>
        <w:br/>
        <w:t>тел. (4852) 72-95-20, факс (4852) 32-93-71</w:t>
        <w:br/>
        <w:t>е-таП: 1о76(®Га5.йОУ.ги</w:t>
      </w:r>
    </w:p>
    <w:p>
      <w:pPr>
        <w:pStyle w:val="Style12"/>
        <w:keepNext/>
        <w:keepLines/>
        <w:widowControl w:val="0"/>
        <w:shd w:val="clear" w:color="auto" w:fill="auto"/>
        <w:tabs>
          <w:tab w:pos="1814" w:val="left"/>
        </w:tabs>
        <w:bidi w:val="0"/>
        <w:spacing w:before="0"/>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СО/3746/2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40" w:lineRule="auto"/>
        <w:ind w:left="0" w:right="0" w:firstLine="0"/>
        <w:jc w:val="center"/>
        <w:rPr>
          <w:sz w:val="20"/>
          <w:szCs w:val="20"/>
        </w:rPr>
      </w:pPr>
      <w:r>
        <w:rPr>
          <w:b w:val="0"/>
          <w:bCs w:val="0"/>
          <w:spacing w:val="0"/>
          <w:w w:val="100"/>
          <w:position w:val="0"/>
          <w:sz w:val="20"/>
          <w:szCs w:val="20"/>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Областное государственное бюджетное учреждение здравоохранения «Костромской клинический онкологический диспансер»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156005, г. Кострома, ул. Нижняя Дебря, д. 19.</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о(х1@с1/о.ко8(гота.доу.П1</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от§@опко44.ги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Заявитель:</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Кульчицкая Оксана Владимировна 620135, г. Екатеринбург, пр-кт Космонавтов, д. 78, корп. Б, кв. 118</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ки1сЫ1:8кауао @т1:ете1:.ги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Оператор электронной площадки: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63" w:right="1074" w:bottom="938" w:left="1140" w:header="0" w:footer="3" w:gutter="0"/>
          <w:pgNumType w:start="1"/>
          <w:cols w:num="2" w:space="835"/>
          <w:noEndnote/>
          <w:rtlGutter w:val="0"/>
          <w:docGrid w:linePitch="360"/>
        </w:sectPr>
      </w:pPr>
      <w:r>
        <w:rPr>
          <w:color w:val="000000"/>
          <w:spacing w:val="0"/>
          <w:w w:val="100"/>
          <w:position w:val="0"/>
          <w:shd w:val="clear" w:color="auto" w:fill="auto"/>
          <w:lang w:val="ru-RU" w:eastAsia="ru-RU" w:bidi="ru-RU"/>
        </w:rPr>
        <w:t>ко@г1§-1:еп4ег.ги</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63" w:right="0" w:bottom="938"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076/06/106-1537/2023</w:t>
      </w:r>
    </w:p>
    <w:p>
      <w:pPr>
        <w:pStyle w:val="Style1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6188710</wp:posOffset>
                </wp:positionH>
                <wp:positionV relativeFrom="paragraph">
                  <wp:posOffset>177800</wp:posOffset>
                </wp:positionV>
                <wp:extent cx="902335" cy="234950"/>
                <wp:wrapSquare wrapText="left"/>
                <wp:docPr id="3" name="Shape 3"/>
                <a:graphic xmlns:a="http://schemas.openxmlformats.org/drawingml/2006/main">
                  <a:graphicData uri="http://schemas.microsoft.com/office/word/2010/wordprocessingShape">
                    <wps:wsp>
                      <wps:cNvSpPr txBox="1"/>
                      <wps:spPr>
                        <a:xfrm>
                          <a:ext cx="90233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Ярославль</w:t>
                            </w:r>
                          </w:p>
                        </w:txbxContent>
                      </wps:txbx>
                      <wps:bodyPr wrap="none" lIns="0" tIns="0" rIns="0" bIns="0">
                        <a:noAutoFit/>
                      </wps:bodyPr>
                    </wps:wsp>
                  </a:graphicData>
                </a:graphic>
              </wp:anchor>
            </w:drawing>
          </mc:Choice>
          <mc:Fallback>
            <w:pict>
              <v:shape id="_x0000_s1029" type="#_x0000_t202" style="position:absolute;margin-left:487.30000000000001pt;margin-top:14.pt;width:71.049999999999997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Ярославль</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оглашена - 13 декабря 2023 года</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изготовлено - 18 декабря 2023 года</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Межрегионального управления Федеральной антимонопольной службы по Ярославской области и Костромской области (далее — Комиссия Ярославского межрегионального УФАС России; Комиссия) в составе:</w:t>
      </w:r>
    </w:p>
    <w:p>
      <w:pPr>
        <w:pStyle w:val="Style16"/>
        <w:keepNext w:val="0"/>
        <w:keepLines w:val="0"/>
        <w:widowControl w:val="0"/>
        <w:shd w:val="clear" w:color="auto" w:fill="auto"/>
        <w:tabs>
          <w:tab w:pos="8294" w:val="left"/>
        </w:tabs>
        <w:bidi w:val="0"/>
        <w:spacing w:before="0" w:after="0" w:line="240" w:lineRule="auto"/>
        <w:ind w:left="0" w:right="0" w:firstLine="0"/>
        <w:jc w:val="center"/>
      </w:pPr>
      <w:r>
        <w:rPr>
          <w:color w:val="000000"/>
          <w:spacing w:val="0"/>
          <w:w w:val="100"/>
          <w:position w:val="0"/>
          <w:shd w:val="clear" w:color="auto" w:fill="auto"/>
          <w:lang w:val="ru-RU" w:eastAsia="ru-RU" w:bidi="ru-RU"/>
        </w:rPr>
        <w:t>Председатель Комиссии:</w:t>
        <w:tab/>
        <w:t>Охинцева С.Н.;</w:t>
      </w:r>
    </w:p>
    <w:p>
      <w:pPr>
        <w:pStyle w:val="Style16"/>
        <w:keepNext w:val="0"/>
        <w:keepLines w:val="0"/>
        <w:widowControl w:val="0"/>
        <w:shd w:val="clear" w:color="auto" w:fill="auto"/>
        <w:tabs>
          <w:tab w:pos="8654" w:val="left"/>
        </w:tabs>
        <w:bidi w:val="0"/>
        <w:spacing w:before="0" w:after="0" w:line="240" w:lineRule="auto"/>
        <w:ind w:left="0" w:right="0" w:firstLine="0"/>
        <w:jc w:val="center"/>
      </w:pPr>
      <w:r>
        <w:rPr>
          <w:color w:val="000000"/>
          <w:spacing w:val="0"/>
          <w:w w:val="100"/>
          <w:position w:val="0"/>
          <w:shd w:val="clear" w:color="auto" w:fill="auto"/>
          <w:lang w:val="ru-RU" w:eastAsia="ru-RU" w:bidi="ru-RU"/>
        </w:rPr>
        <w:t>Члены Комиссии:</w:t>
        <w:tab/>
        <w:t>Суясов А.И.;</w:t>
      </w:r>
    </w:p>
    <w:p>
      <w:pPr>
        <w:pStyle w:val="Style16"/>
        <w:keepNext w:val="0"/>
        <w:keepLines w:val="0"/>
        <w:widowControl w:val="0"/>
        <w:shd w:val="clear" w:color="auto" w:fill="auto"/>
        <w:bidi w:val="0"/>
        <w:spacing w:before="0" w:after="340" w:line="240" w:lineRule="auto"/>
        <w:ind w:left="0" w:right="320" w:firstLine="0"/>
        <w:jc w:val="right"/>
      </w:pPr>
      <w:r>
        <w:rPr>
          <w:color w:val="000000"/>
          <w:spacing w:val="0"/>
          <w:w w:val="100"/>
          <w:position w:val="0"/>
          <w:shd w:val="clear" w:color="auto" w:fill="auto"/>
          <w:lang w:val="ru-RU" w:eastAsia="ru-RU" w:bidi="ru-RU"/>
        </w:rPr>
        <w:t>Козырев И.В.,</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 ведении аудиозаписи заседания, с участием посредством видеоконференцсвязи:</w:t>
      </w:r>
    </w:p>
    <w:p>
      <w:pPr>
        <w:pStyle w:val="Style16"/>
        <w:keepNext w:val="0"/>
        <w:keepLines w:val="0"/>
        <w:widowControl w:val="0"/>
        <w:numPr>
          <w:ilvl w:val="0"/>
          <w:numId w:val="1"/>
        </w:numPr>
        <w:shd w:val="clear" w:color="auto" w:fill="auto"/>
        <w:tabs>
          <w:tab w:pos="272"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представителя по доверенности от областного государственного бюджетного учреждения здравоохранения «Костромской клинический онкологический диспансер» (далее - Заказчик);</w:t>
      </w:r>
    </w:p>
    <w:p>
      <w:pPr>
        <w:pStyle w:val="Style16"/>
        <w:keepNext w:val="0"/>
        <w:keepLines w:val="0"/>
        <w:widowControl w:val="0"/>
        <w:numPr>
          <w:ilvl w:val="0"/>
          <w:numId w:val="1"/>
        </w:numPr>
        <w:shd w:val="clear" w:color="auto" w:fill="auto"/>
        <w:tabs>
          <w:tab w:pos="272"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представителя по доверенности от индивидуального предпринимателя Кульчицкой Оксаны Владимировны (далее - Заявитель; ИП Кульчицкая О.В.);</w:t>
      </w:r>
    </w:p>
    <w:p>
      <w:pPr>
        <w:pStyle w:val="Style16"/>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в отсутствие ООО «РТС-тендер», представителя не направил, о дате, времени и месте проведения заседания Комиссии уведомлен надлежащим образом, рассмотрев жалобу Заявителя на действия (бездействие) заказчика, контрактной службы, контрактного управляющего, уполномоченного органа, уполномоченного учреждения в части установленных положений извещения об осуществлении закупки №</w:t>
      </w:r>
    </w:p>
    <w:p>
      <w:pPr>
        <w:pStyle w:val="Style18"/>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63" w:right="460" w:bottom="938" w:left="996"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0341200003923000128 «Поставка наборов с датчиком для измерения артериального давления для ОГБУЗ ККОД»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материалам дела, 29.11.2023 г. на официальном сайте в сети «Интернет» в единой информационной системе в сфере закупок 11ир://\у\у\у./акирк1.доу.П1 (далее - ЕИС) размещено извещение о проведении аукциона в электронной форме на поставку наборов с датчиком для измерения артериального давления для ОГБУЗ ККОД (извещение № 0341200003923000128).</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133 051,20 рублей.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вышеуказанную закупку Заявителем подана жалоба, из которой установлено следующее.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является медицинское изделие «Набор с датчиком ля измерения артериального давления» (КТРУ 26.60.12.129.00000093). В отношении указанной позиции КТРУ размещена следующая справочная информация «Набор изделий, включающий трубки, датчик(и) давления и другие предметы (например, коннекторы, запорные краны, зажимы и фильтры), используемые для инвазивного измерения артериального давления.» Таким образом объектом закупки является медицинское изделие, используемое ля измерения только артериального давления Артериальное давление человека может иметь значения исключительно в диапазоне свыше 0. Значение артериального давления живого человека не может отвечать значению ниже 0. Таким образом установленная в описании объекта закупки характеристика ограничивает конкуренцию и подлежит изменению.</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считает, что имеющиеся у Заказчика кабели Комбитранс производства В.Вгаип Ме1§ипдеп АО в соответствии с пунктом 8 РУ РЗН 2013/245 от 20.07.2017 г. кабели соединительные Комбитранс имеет квми 273840 (Комплект трубок, разъёмов, фиксаторов, зажимов фильтров и иных изделий, необходимых для удлинения стандартных трубок, ведущих к катетеру, при инвазивном измерении артериального давления. Обеспечивает прямое или через переходник подключение инвазивного катетера к манометрическому датчику. Физические характеристики комплектующих обеспечивают максимальное сохранение волновых форм и точности замеров. Изделие одноразового использования). Таким образом, нельзя в описание объекта закупки прописывать совместимость с одноразовым расходным материалом согласно пункту 1 части 1 статьи 33 Закона о контрактной системе, так как такое требование влечёт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описание объекта закупки составлено таким образом, что совокупности характеристик последнего соответствует товар единственного производителя - «ББраун», что недопустимо в силу пункта 2 статьи 8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 рассмотрения жалобы по существу Заявитель направил ходатайство об участии в рассмотрении жалобы посредством видеоконференцсвязи и о приобщении к жалобе дополнительных документов, ходатайства удовлетворены, личность представителя участвующего в рассмотрении жалобы удостоверена, полномочия подтверждены, представленные документы приобщены к материалам дела.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вышеуказанные доводы Заказчиком представлены в письменной форме возражения на жалобу, просит признать жалобу необоснованной.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связи с необходимостью истребования дополнительных документов от Заказчика, </w:t>
      </w:r>
      <w:r>
        <w:rPr>
          <w:color w:val="000000"/>
          <w:spacing w:val="0"/>
          <w:w w:val="100"/>
          <w:position w:val="0"/>
          <w:shd w:val="clear" w:color="auto" w:fill="auto"/>
          <w:lang w:val="ru-RU" w:eastAsia="ru-RU" w:bidi="ru-RU"/>
        </w:rPr>
        <w:t>Комиссией Ярославского межрегионального УФАС России рассмотрение жалобы было отложено до 9 часов 00 минут и 14 часов 00 минут 13.12.2023 года, с последующим отложением для оглашения резолютивной части решения до 20 часов 00 минут 13.12.2023 года.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После отложения рассмотрения жалобы Заказчиком в материалы дела представлены запрашиваемые документы.</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Ярославского межрегионального УФАС России, рассмотрев доводы жалобы, изучив представленные материалы и документы, нормативные правовые акты приходит к следующим выводам.</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со статьей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статьи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заказчики в силу части 1 статьи 24 Закона о контрактной системе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Конкурентными способами являются: конкурсы (открытый конкурс в электронной </w:t>
      </w:r>
      <w:r>
        <w:rPr>
          <w:color w:val="000000"/>
          <w:spacing w:val="0"/>
          <w:w w:val="100"/>
          <w:position w:val="0"/>
          <w:shd w:val="clear" w:color="auto" w:fill="auto"/>
          <w:lang w:val="ru-RU" w:eastAsia="ru-RU" w:bidi="ru-RU"/>
        </w:rPr>
        <w:t>форме, закрытый конкурс, закрытый конкурс в электронной форме; аукционы (открытый аукцион в электронной форме, закрытый аукцион, закрытый аукцион в электронной форме; запрос котировок в электронной форме (часть 2 статьи 24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частью 24 статьи 22 настоящего Федерального закона) наиболее низкую цену контракта, наименьшую сумму цен таких единиц либо в случае, предусмотренном пунктом 9 части 3 статьи 49 настоящего Федерального закона, - наиболее высокий размер платы, подлежащей внесению участником закупки за заключение контракта (часть 5 статьи 24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содержанию извещения об осуществлении закупки установлены статьей 42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пункту 1 части 2 статьи 42 Закона о контрактной системе извещение об осуществлении закупки должно содержать, в том числе, электронный документ, содержащий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1 статьи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6"/>
        <w:keepNext w:val="0"/>
        <w:keepLines w:val="0"/>
        <w:widowControl w:val="0"/>
        <w:numPr>
          <w:ilvl w:val="0"/>
          <w:numId w:val="3"/>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6"/>
        <w:keepNext w:val="0"/>
        <w:keepLines w:val="0"/>
        <w:widowControl w:val="0"/>
        <w:numPr>
          <w:ilvl w:val="0"/>
          <w:numId w:val="5"/>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6"/>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6"/>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numPr>
          <w:ilvl w:val="0"/>
          <w:numId w:val="5"/>
        </w:numPr>
        <w:shd w:val="clear" w:color="auto" w:fill="auto"/>
        <w:tabs>
          <w:tab w:pos="105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w:t>
      </w:r>
      <w:r>
        <w:rPr>
          <w:color w:val="000000"/>
          <w:spacing w:val="0"/>
          <w:w w:val="100"/>
          <w:position w:val="0"/>
          <w:shd w:val="clear" w:color="auto" w:fill="auto"/>
          <w:lang w:val="ru-RU" w:eastAsia="ru-RU" w:bidi="ru-RU"/>
        </w:rPr>
        <w:t>Российской Федерации;</w:t>
      </w:r>
    </w:p>
    <w:p>
      <w:pPr>
        <w:pStyle w:val="Style16"/>
        <w:keepNext w:val="0"/>
        <w:keepLines w:val="0"/>
        <w:widowControl w:val="0"/>
        <w:numPr>
          <w:ilvl w:val="0"/>
          <w:numId w:val="3"/>
        </w:numPr>
        <w:shd w:val="clear" w:color="auto" w:fill="auto"/>
        <w:tabs>
          <w:tab w:pos="1114"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Согласно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Функциональные, технические и качественные характеристики, а также эксплуатационные характеристики объекта закупки указаны в электронном файле «Описание объекта закупки» (Приложение №1 к Извещению_Описание объекта закупки).</w:t>
      </w:r>
    </w:p>
    <w:p>
      <w:pPr>
        <w:pStyle w:val="Style16"/>
        <w:keepNext w:val="0"/>
        <w:keepLines w:val="0"/>
        <w:widowControl w:val="0"/>
        <w:shd w:val="clear" w:color="auto" w:fill="auto"/>
        <w:bidi w:val="0"/>
        <w:spacing w:before="0" w:after="280" w:line="240" w:lineRule="auto"/>
        <w:ind w:left="0" w:right="0" w:firstLine="820"/>
        <w:jc w:val="both"/>
      </w:pPr>
      <w:r>
        <w:rPr>
          <w:color w:val="000000"/>
          <w:spacing w:val="0"/>
          <w:w w:val="100"/>
          <w:position w:val="0"/>
          <w:shd w:val="clear" w:color="auto" w:fill="auto"/>
          <w:lang w:val="ru-RU" w:eastAsia="ru-RU" w:bidi="ru-RU"/>
        </w:rPr>
        <w:t>При описании объекта закупки Заказчик установил следующие характеристики (приведена выдержка):</w:t>
      </w:r>
    </w:p>
    <w:tbl>
      <w:tblPr>
        <w:tblOverlap w:val="never"/>
        <w:jc w:val="center"/>
        <w:tblLayout w:type="fixed"/>
      </w:tblPr>
      <w:tblGrid>
        <w:gridCol w:w="1138"/>
        <w:gridCol w:w="1277"/>
        <w:gridCol w:w="1416"/>
        <w:gridCol w:w="1416"/>
        <w:gridCol w:w="1555"/>
        <w:gridCol w:w="3470"/>
      </w:tblGrid>
      <w:tr>
        <w:trPr>
          <w:trHeight w:val="355" w:hRule="exact"/>
        </w:trPr>
        <w:tc>
          <w:tcPr>
            <w:gridSpan w:val="3"/>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Характеристики товара</w:t>
            </w:r>
          </w:p>
        </w:tc>
        <w:tc>
          <w:tcPr>
            <w:vMerge w:val="restart"/>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Инструкция по заполнению характеристик в заявке</w:t>
            </w:r>
          </w:p>
        </w:tc>
        <w:tc>
          <w:tcPr>
            <w:vMerge w:val="restart"/>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Тип</w:t>
            </w:r>
          </w:p>
          <w:p>
            <w:pPr>
              <w:pStyle w:val="Style20"/>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характеристики</w:t>
            </w:r>
          </w:p>
        </w:tc>
        <w:tc>
          <w:tcPr>
            <w:vMerge w:val="restart"/>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Обоснование включения дополнительных характеристик в описание объекта закупки </w:t>
            </w:r>
            <w:r>
              <w:rPr>
                <w:i/>
                <w:iCs/>
                <w:color w:val="000000"/>
                <w:spacing w:val="0"/>
                <w:w w:val="100"/>
                <w:position w:val="0"/>
                <w:sz w:val="20"/>
                <w:szCs w:val="20"/>
                <w:shd w:val="clear" w:color="auto" w:fill="auto"/>
                <w:lang w:val="ru-RU" w:eastAsia="ru-RU" w:bidi="ru-RU"/>
              </w:rPr>
              <w:t>(п.п. 5,6 Правил использования КТРУ, утвержденных постановлением ПП РФ от 08.02.2017 г. №145)</w:t>
            </w:r>
          </w:p>
        </w:tc>
      </w:tr>
      <w:tr>
        <w:trPr>
          <w:trHeight w:val="104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 ание характер истики</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 характеристи ки</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Единицы измерения характери</w:t>
              <w:softHyphen/>
              <w:t>стики</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bottom"/>
          </w:tcPr>
          <w:p>
            <w:pPr/>
          </w:p>
        </w:tc>
      </w:tr>
      <w:tr>
        <w:trPr>
          <w:trHeight w:val="1862"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Диапазон измерений</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- 50 и &lt;</w:t>
            </w:r>
          </w:p>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300</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Миллиметр ртутного столба</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 ки</w:t>
            </w:r>
          </w:p>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может изменяться участником закупки</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Количественная</w:t>
            </w:r>
          </w:p>
        </w:tc>
        <w:tc>
          <w:tcPr>
            <w:tcBorders>
              <w:top w:val="single" w:sz="4"/>
              <w:left w:val="single" w:sz="4"/>
              <w:bottom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Указанные технические особенности изделия являются необходимыми для точной передачи показателей измерения давления в следствии переработки физического давления, оказываемого на одноразовый датчик в электрический сигнал, выводимый на монитор пациента.</w:t>
            </w:r>
          </w:p>
        </w:tc>
      </w:tr>
    </w:tbl>
    <w:p>
      <w:pPr>
        <w:widowControl w:val="0"/>
        <w:spacing w:after="279" w:line="1" w:lineRule="exact"/>
      </w:pP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Закупаемые наборы с датчиком для измерения венозного, артериального давления и давления в легочной артерии из таблицы №1 настоящего приложения к Извещению должны быть совместимы с оборудованием, имеющимся у Заказчика, а именно, с монитором пациента 1пНш1у производства Огадег.</w:t>
      </w:r>
    </w:p>
    <w:p>
      <w:pPr>
        <w:pStyle w:val="Style16"/>
        <w:keepNext w:val="0"/>
        <w:keepLines w:val="0"/>
        <w:widowControl w:val="0"/>
        <w:pBdr>
          <w:bottom w:val="single" w:sz="4" w:space="0" w:color="auto"/>
        </w:pBdr>
        <w:shd w:val="clear" w:color="auto" w:fill="auto"/>
        <w:bidi w:val="0"/>
        <w:spacing w:before="0" w:after="280" w:line="240" w:lineRule="auto"/>
        <w:ind w:left="0" w:right="0" w:firstLine="820"/>
        <w:jc w:val="both"/>
      </w:pPr>
      <w:r>
        <w:rPr>
          <w:color w:val="000000"/>
          <w:spacing w:val="0"/>
          <w:w w:val="100"/>
          <w:position w:val="0"/>
          <w:shd w:val="clear" w:color="auto" w:fill="auto"/>
          <w:lang w:val="ru-RU" w:eastAsia="ru-RU" w:bidi="ru-RU"/>
        </w:rPr>
        <w:t>Встроенные кабели с четырехконтактными разъемами в наборе с датчиком для измерения венозного, артериального давления и давления в легочной артерии, должны быть</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совместимы</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с</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многоразовыми</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соединительными</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кабелями</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Комбитранс</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производства</w:t>
      </w:r>
    </w:p>
    <w:p>
      <w:pPr>
        <w:pStyle w:val="Style16"/>
        <w:keepNext w:val="0"/>
        <w:keepLines w:val="0"/>
        <w:widowControl w:val="0"/>
        <w:pBdr>
          <w:bottom w:val="single" w:sz="4" w:space="0" w:color="auto"/>
        </w:pBdr>
        <w:shd w:val="clear" w:color="auto" w:fill="auto"/>
        <w:bidi w:val="0"/>
        <w:spacing w:before="0" w:after="600" w:line="240" w:lineRule="auto"/>
        <w:ind w:left="0" w:right="0" w:firstLine="0"/>
        <w:jc w:val="both"/>
      </w:pPr>
      <w:r>
        <w:rPr>
          <w:color w:val="000000"/>
          <w:spacing w:val="0"/>
          <w:w w:val="100"/>
          <w:position w:val="0"/>
          <w:shd w:val="clear" w:color="auto" w:fill="auto"/>
          <w:lang w:val="ru-RU" w:eastAsia="ru-RU" w:bidi="ru-RU"/>
        </w:rPr>
        <w:t>В.Вгаип Ме1§ипдеп АО, имеющимися у Заказчика.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заседание Комиссии Заказчик предоставил инструкцию по эксплуатации монитора серия 1пНш1у [)е11а производства Огадег. инструкцию по эксплуатации и инструкцию по применению соединительного кабеля Комбитранс.</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инструкции по эксплуатации серия 1пйт!у [)е11а производства Огадег. монитор воспринимает сигналы давления крови. измеряемого инвазивным методом (иАД). через Т-кабели. гемодинамические приставки или комбинацию этих устройств. Датчик. подключенный к кабелю или приставке/МРод. преобразует величину давления в электрические сигналы для монитора. Диапазон измерения монитора является &gt; - 50 и &lt; 400 мм рт. ст.</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техническими характеристиками. указанными в инструкции по эксплуатации соединительный кабель Комбитранс имеет диапазон измерения монитора является &gt; - 50 и &lt; 300 мм рт. ст.</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описание объекта закупки. а также представленные документы. Комиссия Ярославского межрегионального УФАС России приходит к выводу. что требование по диапазону измерения установлено в отношении предмета закупки (Набор с датчиком для измерения артериального давления).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Заявителя. указывающий что значение артериального давления живого человека не может отвечать значению ниже 0. не противоречит установленному в описании объекта закупки Заказчиком значению.</w:t>
      </w:r>
    </w:p>
    <w:p>
      <w:pPr>
        <w:pStyle w:val="Style16"/>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Документов опровергающих вывод Комиссии Ярославского межрегионального УФАС России о том. что набор с датчиком для измерения артериального давления может иметь диапазон измерения &gt; - 50 и &lt; 300 мм рт. ст. в материалы дела не представлено</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требованием. установленным Заказчиком при описании закупаемого оборудования является то. что встроенные кабели с четырехконтактными разъемами в наборе с датчиком для измерения венозного. артериального давления и давления в легочной артерии. должны быть совместимы с многоразовыми соединительными кабелями Комбитранс производства В.Вгаип Ме1§ипдеп АО. имеющимися у Заказчика.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Заказчик указал. что согласно инструкции по применению кабели соединительные Комбитранс предназначены для подключения преобразователя(ей) Комбитранс к блоку(ам) инвазивного мониторинга физиологического давления монитора пациента и передачи электрических сигналов к монитору. где происходит обработка сигналов. вывод на экран в виде кривой давления и сохранение в памяти компьютера. Использования кабеля возможно только с совместимыми преобразователями производства Б. Браун.</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содержания жалобы Заявителя следует. что участником закупки предлагается к поставке товары производителей «СКАЙ Медикал. а.с.». Словацкая Республика РУ РЗН 2023/19865 и «Биометрикс Лтд». Израиль РУ РЗН 2016/4673.</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Вместе с тем. Заказчиком представлено информационное письмо от 13.12.2023 № 1946/23 ББМ от ООО "Б.Браун Медикал". являющегося дочерним предприятием В.Вгаип Ме1§ипдеп АО в Российской Федерации указано. что кабели соединительные Комбитранс (СотЫЦап^ топПоппд саЫе) могут использоваться только с наборами для контроля давления с преобразователем Комбитранс (СотЫйапз топПоппд ^е() производства компании В. Вгаип Ме1§ипдеп АО. Использование наборов для инвазивного измерения </w:t>
      </w:r>
      <w:r>
        <w:rPr>
          <w:color w:val="000000"/>
          <w:spacing w:val="0"/>
          <w:w w:val="100"/>
          <w:position w:val="0"/>
          <w:shd w:val="clear" w:color="auto" w:fill="auto"/>
          <w:lang w:val="ru-RU" w:eastAsia="ru-RU" w:bidi="ru-RU"/>
        </w:rPr>
        <w:t>давления других производителей запрещено, так как они являются несовместимыми.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Использование преобразователей кровяного давления производства Исри МесОса! Тсс1ию1оду (Вер|1пд) Со., Ик1. (Китай), «СКАЙ Медикал, а.с.» (Словацкая Республика), «Биометрикс Лтд» (Израиль) с кабелем соединительным Комбитранс (СотЪйгапз тотЮпид саЫе) запрещено напрямую и через переходник, так как данные наборы не являются совместимыми с кабелем Комбитранс.</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из представленных Заказчиком документов и сведений, в том числе, инструкции по применению на оборудования, эксплуатируемое Заказчиком, следует, что соединительный кабель Комбитранс производства В. Вгаип Ме1§иидеи АО совместим с кабелем этого же производителя.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правовой позиции, изложенной в письме Росздравнадзора (исх. № 09-С- 571-1414 от 09.02.2016),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надлежащим доказательством совместимости следует признать техническую (эксплуатационную) документацию или официальное письмо производителя оборудования, с которым должен быть совместим закупаемый товар, так как необходимость наличия совместимости с уже имеющимся оборудованием у Заказчика обусловлена необходимостью использования исключительно одобренных производителем оборудования принадлежностей и расходных материалов, отвечающих требованиям безопасности, для исключения убытков Заказчика и дополнительных финансовых затрат в случае поломки оборудования, рисков причинения вреда здоровью пациентам и медицинскому персоналу, а также обеспечения эффективной работы медицинского оборудования.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Комиссия Ярославского межрегионального УФАС России изучив довод жалобы, не установила в действиях/бездействии Заказчика нарушения норм Закона о контрактной системе.</w:t>
      </w:r>
    </w:p>
    <w:p>
      <w:pPr>
        <w:pStyle w:val="Style16"/>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Обязанность доказывания нарушения заказчиком своих прав и законных интересов лежит на подателе жалобы, вместе с тем на заседание Комиссии Ярославского межрегионального УФАС России заявителем не представлены документы и сведения, свидетельствующие о нарушении законных прав и интересов заявителя, ограничении количества участников закупки.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рамках внеплановой проверки Комиссией Ярославского межрегионального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Заказчиком при описании закупаемого оборудования установлено требование Закупаемые наборы с датчиком для измерения венозного, артериального давления и давления в легочной артерии из таблицы №1 настоящего приложения к Извещению должны </w:t>
      </w:r>
      <w:r>
        <w:rPr>
          <w:color w:val="000000"/>
          <w:spacing w:val="0"/>
          <w:w w:val="100"/>
          <w:position w:val="0"/>
          <w:u w:val="single"/>
          <w:shd w:val="clear" w:color="auto" w:fill="auto"/>
          <w:lang w:val="ru-RU" w:eastAsia="ru-RU" w:bidi="ru-RU"/>
        </w:rPr>
        <w:t>быть совместимы с оборудованием, имеющимся у Заказчика, а именно, с монитором пациента Шдпйу производства Ргадег</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40"/>
        <w:jc w:val="both"/>
        <w:sectPr>
          <w:footerReference w:type="default" r:id="rId6"/>
          <w:footnotePr>
            <w:pos w:val="pageBottom"/>
            <w:numFmt w:val="decimal"/>
            <w:numRestart w:val="continuous"/>
          </w:footnotePr>
          <w:pgSz w:w="11900" w:h="16840"/>
          <w:pgMar w:top="1053" w:right="510" w:bottom="1436" w:left="1055" w:header="625" w:footer="3" w:gutter="0"/>
          <w:cols w:space="720"/>
          <w:noEndnote/>
          <w:rtlGutter w:val="0"/>
          <w:docGrid w:linePitch="360"/>
        </w:sectPr>
      </w:pPr>
      <w:r>
        <w:rPr>
          <w:color w:val="000000"/>
          <w:spacing w:val="0"/>
          <w:w w:val="100"/>
          <w:position w:val="0"/>
          <w:shd w:val="clear" w:color="auto" w:fill="auto"/>
          <w:lang w:val="ru-RU" w:eastAsia="ru-RU" w:bidi="ru-RU"/>
        </w:rPr>
        <w:t>Вместе с тем, Комиссия Ярославского межрегионального УФАС России приходит к выводу, что данное требование является избыточным и не соответствующим фактическим обстоятельствам дела, поскольку представленные Заказчиком документы не содержат сведений о совместимости набора с датчиком для измерения артериального давления, либо многоразовых соединительных кабелей Комбитранс производства В.Вгаип Ме1§иидеи АО, с</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монитором пациента 1пйш1у производства ^^аде^. Доказательств обратного в адрес Комиссии не представлено.</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Вышеуказанные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не отрицает, что потребностью Заказчика является обеспечения совместимости набора с датчиком для измерения артериального давления, соединительного кабеля и монитора, однако из описания объекта закупки должно однозначно следовать как будет обеспечиваться такое взаимодействие, с использованием каких средств, документации и информации.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считает возможным не выдавать Заказчик обязательное для исполнения предписание, поскольку выявленное нарушение не повлияло на права и законные интересы Заявителя (иных жалоб в адрес Ярославского межрегионального УФАС России не поступало), последний настаивает на возможности поставки набора с датчиком для измерения артериального давления производителя отличного от определенного Заказчиком, что не согласуется с потребностью Заказчика, подтвержденной соответствующими документами (приведены в тексте настоящего решения).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руководствуясь статьями 99, 106 Закона о контрактной системе, Комиссия Ярославского межрегионального УФАС России по контролю в сфере закупок,</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numPr>
          <w:ilvl w:val="0"/>
          <w:numId w:val="7"/>
        </w:numPr>
        <w:shd w:val="clear" w:color="auto" w:fill="auto"/>
        <w:tabs>
          <w:tab w:pos="106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ИП Кульчицкая О.В. необоснованной.</w:t>
      </w:r>
    </w:p>
    <w:p>
      <w:pPr>
        <w:pStyle w:val="Style16"/>
        <w:keepNext w:val="0"/>
        <w:keepLines w:val="0"/>
        <w:widowControl w:val="0"/>
        <w:numPr>
          <w:ilvl w:val="0"/>
          <w:numId w:val="7"/>
        </w:numPr>
        <w:shd w:val="clear" w:color="auto" w:fill="auto"/>
        <w:tabs>
          <w:tab w:pos="10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 итогам проведения внеплановой проверки признать Заказчика, нарушившим пункт 1 части 2 статьи 42 Закона о контрактной системе.</w:t>
      </w:r>
    </w:p>
    <w:p>
      <w:pPr>
        <w:pStyle w:val="Style16"/>
        <w:keepNext w:val="0"/>
        <w:keepLines w:val="0"/>
        <w:widowControl w:val="0"/>
        <w:numPr>
          <w:ilvl w:val="0"/>
          <w:numId w:val="7"/>
        </w:numPr>
        <w:shd w:val="clear" w:color="auto" w:fill="auto"/>
        <w:tabs>
          <w:tab w:pos="10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 выдавать Заказчику обязательное для исполнения предписание об устранении выявленных нарушений законодательства о контрактной системе.</w:t>
      </w:r>
    </w:p>
    <w:p>
      <w:pPr>
        <w:pStyle w:val="Style16"/>
        <w:keepNext w:val="0"/>
        <w:keepLines w:val="0"/>
        <w:widowControl w:val="0"/>
        <w:numPr>
          <w:ilvl w:val="0"/>
          <w:numId w:val="7"/>
        </w:numPr>
        <w:shd w:val="clear" w:color="auto" w:fill="auto"/>
        <w:tabs>
          <w:tab w:pos="1234"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Передать материалы решения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widowControl w:val="0"/>
        <w:spacing w:line="1" w:lineRule="exact"/>
      </w:pPr>
      <w:r>
        <mc:AlternateContent>
          <mc:Choice Requires="wps">
            <w:drawing>
              <wp:anchor distT="304800" distB="441960" distL="0" distR="0" simplePos="0" relativeHeight="125829380" behindDoc="0" locked="0" layoutInCell="1" allowOverlap="1">
                <wp:simplePos x="0" y="0"/>
                <wp:positionH relativeFrom="page">
                  <wp:posOffset>739140</wp:posOffset>
                </wp:positionH>
                <wp:positionV relativeFrom="paragraph">
                  <wp:posOffset>304800</wp:posOffset>
                </wp:positionV>
                <wp:extent cx="1700530" cy="228600"/>
                <wp:wrapTopAndBottom/>
                <wp:docPr id="7" name="Shape 7"/>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4.pt;width:133.90000000000001pt;height:18.pt;z-index:-125829373;mso-wrap-distance-left:0;mso-wrap-distance-top:24.pt;mso-wrap-distance-right:0;mso-wrap-distance-bottom:34.80000000000000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38785" distB="0" distL="0" distR="1789430" simplePos="0" relativeHeight="125829382" behindDoc="0" locked="0" layoutInCell="1" allowOverlap="1">
            <wp:simplePos x="0" y="0"/>
            <wp:positionH relativeFrom="page">
              <wp:posOffset>2766060</wp:posOffset>
            </wp:positionH>
            <wp:positionV relativeFrom="paragraph">
              <wp:posOffset>438785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3229610</wp:posOffset>
                </wp:positionH>
                <wp:positionV relativeFrom="paragraph">
                  <wp:posOffset>841375</wp:posOffset>
                </wp:positionV>
                <wp:extent cx="1280160" cy="103505"/>
                <wp:wrapNone/>
                <wp:docPr id="11" name="Shape 1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54.30000000000001pt;margin-top:66.25pt;width:100.8pt;height:8.1500000000000004pt;z-index:251657729;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3183890</wp:posOffset>
                </wp:positionH>
                <wp:positionV relativeFrom="paragraph">
                  <wp:posOffset>530225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0.70000000000002pt;margin-top:41.75pt;width:135.84999999999999pt;height:20.15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6575" distB="207010" distL="0" distR="0" simplePos="0" relativeHeight="125829383" behindDoc="0" locked="0" layoutInCell="1" allowOverlap="1">
                <wp:simplePos x="0" y="0"/>
                <wp:positionH relativeFrom="page">
                  <wp:posOffset>6118860</wp:posOffset>
                </wp:positionH>
                <wp:positionV relativeFrom="paragraph">
                  <wp:posOffset>536575</wp:posOffset>
                </wp:positionV>
                <wp:extent cx="1073150" cy="231775"/>
                <wp:wrapTopAndBottom/>
                <wp:docPr id="15" name="Shape 15"/>
                <a:graphic xmlns:a="http://schemas.openxmlformats.org/drawingml/2006/main">
                  <a:graphicData uri="http://schemas.microsoft.com/office/word/2010/wordprocessingShape">
                    <wps:wsp>
                      <wps:cNvSpPr txBox="1"/>
                      <wps:spPr>
                        <a:xfrm>
                          <a:ext cx="1073150"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С.Н. Охинцева</w:t>
                            </w:r>
                          </w:p>
                        </w:txbxContent>
                      </wps:txbx>
                      <wps:bodyPr wrap="none" lIns="0" tIns="0" rIns="0" bIns="0">
                        <a:noAutoFit/>
                      </wps:bodyPr>
                    </wps:wsp>
                  </a:graphicData>
                </a:graphic>
              </wp:anchor>
            </w:drawing>
          </mc:Choice>
          <mc:Fallback>
            <w:pict>
              <v:shape id="_x0000_s1041" type="#_x0000_t202" style="position:absolute;margin-left:481.80000000000001pt;margin-top:42.25pt;width:84.5pt;height:18.25pt;z-index:-125829370;mso-wrap-distance-left:0;mso-wrap-distance-top:42.25pt;mso-wrap-distance-right:0;mso-wrap-distance-bottom:16.3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С.Н. Охинцева</w:t>
                      </w:r>
                    </w:p>
                  </w:txbxContent>
                </v:textbox>
                <w10:wrap type="topAndBottom" anchorx="page"/>
              </v:shape>
            </w:pict>
          </mc:Fallback>
        </mc:AlternateContent>
      </w:r>
    </w:p>
    <w:p>
      <w:pPr>
        <w:widowControl w:val="0"/>
        <w:spacing w:line="1" w:lineRule="exact"/>
      </w:pPr>
      <w:r>
        <mc:AlternateContent>
          <mc:Choice Requires="wps">
            <w:drawing>
              <wp:anchor distT="153035" distB="1014730" distL="0" distR="0" simplePos="0" relativeHeight="125829385" behindDoc="0" locked="0" layoutInCell="1" allowOverlap="1">
                <wp:simplePos x="0" y="0"/>
                <wp:positionH relativeFrom="page">
                  <wp:posOffset>735965</wp:posOffset>
                </wp:positionH>
                <wp:positionV relativeFrom="paragraph">
                  <wp:posOffset>153035</wp:posOffset>
                </wp:positionV>
                <wp:extent cx="1246505" cy="231775"/>
                <wp:wrapTopAndBottom/>
                <wp:docPr id="17" name="Shape 17"/>
                <a:graphic xmlns:a="http://schemas.openxmlformats.org/drawingml/2006/main">
                  <a:graphicData uri="http://schemas.microsoft.com/office/word/2010/wordprocessingShape">
                    <wps:wsp>
                      <wps:cNvSpPr txBox="1"/>
                      <wps:spPr>
                        <a:xfrm>
                          <a:ext cx="1246505"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12.050000000000001pt;width:98.150000000000006pt;height:18.25pt;z-index:-125829368;mso-wrap-distance-left:0;mso-wrap-distance-top:12.050000000000001pt;mso-wrap-distance-right:0;mso-wrap-distance-bottom:79.900000000000006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2700" distB="1088390" distL="0" distR="0" simplePos="0" relativeHeight="125829387" behindDoc="0" locked="0" layoutInCell="1" allowOverlap="1">
                <wp:simplePos x="0" y="0"/>
                <wp:positionH relativeFrom="page">
                  <wp:posOffset>2781300</wp:posOffset>
                </wp:positionH>
                <wp:positionV relativeFrom="paragraph">
                  <wp:posOffset>12700</wp:posOffset>
                </wp:positionV>
                <wp:extent cx="2167255" cy="298450"/>
                <wp:wrapTopAndBottom/>
                <wp:docPr id="19" name="Shape 19"/>
                <a:graphic xmlns:a="http://schemas.openxmlformats.org/drawingml/2006/main">
                  <a:graphicData uri="http://schemas.microsoft.com/office/word/2010/wordprocessingShape">
                    <wps:wsp>
                      <wps:cNvSpPr txBox="1"/>
                      <wps:spPr>
                        <a:xfrm>
                          <a:ext cx="2167255" cy="29845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color w:val="646464"/>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Охинцева Светлана Николаевна</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00СА79О0А734ЕЕ1498138915ВЕ46Е1Ю71</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09.02.2023 </w:t>
                            </w:r>
                            <w:r>
                              <w:rPr>
                                <w:color w:val="646464"/>
                                <w:spacing w:val="0"/>
                                <w:w w:val="100"/>
                                <w:position w:val="0"/>
                                <w:shd w:val="clear" w:color="auto" w:fill="auto"/>
                                <w:lang w:val="ru-RU" w:eastAsia="ru-RU" w:bidi="ru-RU"/>
                              </w:rPr>
                              <w:t>по 04.05.2024</w:t>
                            </w:r>
                          </w:p>
                        </w:txbxContent>
                      </wps:txbx>
                      <wps:bodyPr lIns="0" tIns="0" rIns="0" bIns="0">
                        <a:noAutoFit/>
                      </wps:bodyPr>
                    </wps:wsp>
                  </a:graphicData>
                </a:graphic>
              </wp:anchor>
            </w:drawing>
          </mc:Choice>
          <mc:Fallback>
            <w:pict>
              <v:shape id="_x0000_s1045" type="#_x0000_t202" style="position:absolute;margin-left:219.pt;margin-top:1.pt;width:170.65000000000001pt;height:23.5pt;z-index:-125829366;mso-wrap-distance-left:0;mso-wrap-distance-top:1.pt;mso-wrap-distance-right:0;mso-wrap-distance-bottom:85.700000000000003pt;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color w:val="646464"/>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Охинцева Светлана Николаевна</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00СА79О0А734ЕЕ1498138915ВЕ46Е1Ю71</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09.02.2023 </w:t>
                      </w:r>
                      <w:r>
                        <w:rPr>
                          <w:color w:val="646464"/>
                          <w:spacing w:val="0"/>
                          <w:w w:val="100"/>
                          <w:position w:val="0"/>
                          <w:shd w:val="clear" w:color="auto" w:fill="auto"/>
                          <w:lang w:val="ru-RU" w:eastAsia="ru-RU" w:bidi="ru-RU"/>
                        </w:rPr>
                        <w:t>по 04.05.2024</w:t>
                      </w:r>
                    </w:p>
                  </w:txbxContent>
                </v:textbox>
                <w10:wrap type="topAndBottom" anchorx="page"/>
              </v:shape>
            </w:pict>
          </mc:Fallback>
        </mc:AlternateContent>
      </w:r>
      <w:r>
        <w:drawing>
          <wp:anchor distT="542925" distB="320040" distL="0" distR="1786255" simplePos="0" relativeHeight="125829389" behindDoc="0" locked="0" layoutInCell="1" allowOverlap="1">
            <wp:simplePos x="0" y="0"/>
            <wp:positionH relativeFrom="page">
              <wp:posOffset>2762885</wp:posOffset>
            </wp:positionH>
            <wp:positionV relativeFrom="paragraph">
              <wp:posOffset>542925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3220085</wp:posOffset>
                </wp:positionH>
                <wp:positionV relativeFrom="paragraph">
                  <wp:posOffset>945515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53.55000000000001pt;margin-top:74.450000000000003pt;width:101.05pt;height:8.1500000000000004pt;z-index:251657733;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3177540</wp:posOffset>
                </wp:positionH>
                <wp:positionV relativeFrom="paragraph">
                  <wp:posOffset>634365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50.20000000000002pt;margin-top:49.950000000000003pt;width:135.59999999999999pt;height:20.150000000000002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03630" distB="0" distL="0" distR="0" simplePos="0" relativeHeight="125829390" behindDoc="0" locked="0" layoutInCell="1" allowOverlap="1">
                <wp:simplePos x="0" y="0"/>
                <wp:positionH relativeFrom="page">
                  <wp:posOffset>2771775</wp:posOffset>
                </wp:positionH>
                <wp:positionV relativeFrom="paragraph">
                  <wp:posOffset>1103630</wp:posOffset>
                </wp:positionV>
                <wp:extent cx="2118360" cy="295910"/>
                <wp:wrapTopAndBottom/>
                <wp:docPr id="27" name="Shape 27"/>
                <a:graphic xmlns:a="http://schemas.openxmlformats.org/drawingml/2006/main">
                  <a:graphicData uri="http://schemas.microsoft.com/office/word/2010/wordprocessingShape">
                    <wps:wsp>
                      <wps:cNvSpPr txBox="1"/>
                      <wps:spPr>
                        <a:xfrm>
                          <a:ext cx="2118360" cy="2959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Суясов Андрей Игоревич</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00ЕС340А9Е59ЕА7А57475С62АЕЕ8О7АЕ</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18.10.2023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10.01.2025</w:t>
                            </w:r>
                          </w:p>
                        </w:txbxContent>
                      </wps:txbx>
                      <wps:bodyPr lIns="0" tIns="0" rIns="0" bIns="0">
                        <a:noAutoFit/>
                      </wps:bodyPr>
                    </wps:wsp>
                  </a:graphicData>
                </a:graphic>
              </wp:anchor>
            </w:drawing>
          </mc:Choice>
          <mc:Fallback>
            <w:pict>
              <v:shape id="_x0000_s1053" type="#_x0000_t202" style="position:absolute;margin-left:218.25pt;margin-top:86.900000000000006pt;width:166.80000000000001pt;height:23.300000000000001pt;z-index:-125829363;mso-wrap-distance-left:0;mso-wrap-distance-top:86.900000000000006pt;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Суясов Андрей Игоревич</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00ЕС340А9Е59ЕА7А57475С62АЕЕ8О7АЕ</w:t>
                      </w:r>
                    </w:p>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18.10.2023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10.01.2025</w:t>
                      </w:r>
                    </w:p>
                  </w:txbxContent>
                </v:textbox>
                <w10:wrap type="topAndBottom" anchorx="page"/>
              </v:shape>
            </w:pict>
          </mc:Fallback>
        </mc:AlternateContent>
      </w:r>
      <w:r>
        <mc:AlternateContent>
          <mc:Choice Requires="wps">
            <w:drawing>
              <wp:anchor distT="789940" distB="374650" distL="0" distR="0" simplePos="0" relativeHeight="125829392" behindDoc="0" locked="0" layoutInCell="1" allowOverlap="1">
                <wp:simplePos x="0" y="0"/>
                <wp:positionH relativeFrom="page">
                  <wp:posOffset>6298565</wp:posOffset>
                </wp:positionH>
                <wp:positionV relativeFrom="paragraph">
                  <wp:posOffset>789940</wp:posOffset>
                </wp:positionV>
                <wp:extent cx="887095" cy="234950"/>
                <wp:wrapTopAndBottom/>
                <wp:docPr id="29" name="Shape 29"/>
                <a:graphic xmlns:a="http://schemas.openxmlformats.org/drawingml/2006/main">
                  <a:graphicData uri="http://schemas.microsoft.com/office/word/2010/wordprocessingShape">
                    <wps:wsp>
                      <wps:cNvSpPr txBox="1"/>
                      <wps:spPr>
                        <a:xfrm>
                          <a:ext cx="88709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Суясов</w:t>
                            </w:r>
                          </w:p>
                        </w:txbxContent>
                      </wps:txbx>
                      <wps:bodyPr wrap="none" lIns="0" tIns="0" rIns="0" bIns="0">
                        <a:noAutoFit/>
                      </wps:bodyPr>
                    </wps:wsp>
                  </a:graphicData>
                </a:graphic>
              </wp:anchor>
            </w:drawing>
          </mc:Choice>
          <mc:Fallback>
            <w:pict>
              <v:shape id="_x0000_s1055" type="#_x0000_t202" style="position:absolute;margin-left:495.94999999999999pt;margin-top:62.200000000000003pt;width:69.850000000000009pt;height:18.5pt;z-index:-125829361;mso-wrap-distance-left:0;mso-wrap-distance-top:62.200000000000003pt;mso-wrap-distance-right:0;mso-wrap-distance-bottom:29.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Суясов</w:t>
                      </w:r>
                    </w:p>
                  </w:txbxContent>
                </v:textbox>
                <w10:wrap type="topAndBottom" anchorx="page"/>
              </v:shape>
            </w:pict>
          </mc:Fallback>
        </mc:AlternateContent>
      </w:r>
    </w:p>
    <w:p>
      <w:pPr>
        <w:widowControl w:val="0"/>
        <w:spacing w:line="1" w:lineRule="exact"/>
        <w:sectPr>
          <w:footerReference w:type="default" r:id="rId11"/>
          <w:footnotePr>
            <w:pos w:val="pageBottom"/>
            <w:numFmt w:val="decimal"/>
            <w:numRestart w:val="continuous"/>
          </w:footnotePr>
          <w:pgSz w:w="11900" w:h="16840"/>
          <w:pgMar w:top="1110" w:right="545" w:bottom="163" w:left="1101" w:header="682" w:footer="3" w:gutter="0"/>
          <w:cols w:space="720"/>
          <w:noEndnote/>
          <w:rtlGutter w:val="0"/>
          <w:docGrid w:linePitch="360"/>
        </w:sectPr>
      </w:pPr>
      <w:r>
        <w:drawing>
          <wp:anchor distT="203200" distB="0" distL="0" distR="1786255" simplePos="0" relativeHeight="125829394" behindDoc="0" locked="0" layoutInCell="1" allowOverlap="1">
            <wp:simplePos x="0" y="0"/>
            <wp:positionH relativeFrom="page">
              <wp:posOffset>2762885</wp:posOffset>
            </wp:positionH>
            <wp:positionV relativeFrom="paragraph">
              <wp:posOffset>203200</wp:posOffset>
            </wp:positionV>
            <wp:extent cx="353695" cy="53657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3220085</wp:posOffset>
                </wp:positionH>
                <wp:positionV relativeFrom="paragraph">
                  <wp:posOffset>605790</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53.55000000000001pt;margin-top:47.700000000000003pt;width:100.8pt;height:7.9000000000000004pt;z-index:251657737;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3177540</wp:posOffset>
                </wp:positionH>
                <wp:positionV relativeFrom="paragraph">
                  <wp:posOffset>291465</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5" type="#_x0000_t202" style="position:absolute;margin-left:250.20000000000002pt;margin-top:22.949999999999999pt;width:135.59999999999999pt;height:20.150000000000002pt;z-index:25165773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pStyle w:val="Style30"/>
        <w:keepNext w:val="0"/>
        <w:keepLines w:val="0"/>
        <w:widowControl w:val="0"/>
        <w:shd w:val="clear" w:color="auto" w:fill="auto"/>
        <w:bidi w:val="0"/>
        <w:spacing w:before="0" w:after="0" w:line="240" w:lineRule="auto"/>
        <w:ind w:left="3260" w:right="0" w:firstLine="0"/>
        <w:jc w:val="left"/>
      </w:pPr>
      <w:r>
        <w:rPr>
          <w:color w:val="232323"/>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Козырев Игорь Викторович</w:t>
      </w:r>
    </w:p>
    <w:p>
      <w:pPr>
        <w:pStyle w:val="Style30"/>
        <w:keepNext w:val="0"/>
        <w:keepLines w:val="0"/>
        <w:widowControl w:val="0"/>
        <w:shd w:val="clear" w:color="auto" w:fill="auto"/>
        <w:bidi w:val="0"/>
        <w:spacing w:before="0" w:after="0" w:line="240" w:lineRule="auto"/>
        <w:ind w:left="3260" w:right="0" w:firstLine="0"/>
        <w:jc w:val="left"/>
      </w:pPr>
      <w:r>
        <w:rPr>
          <w:color w:val="646464"/>
          <w:spacing w:val="0"/>
          <w:w w:val="100"/>
          <w:position w:val="0"/>
          <w:shd w:val="clear" w:color="auto" w:fill="auto"/>
          <w:lang w:val="ru-RU" w:eastAsia="ru-RU" w:bidi="ru-RU"/>
        </w:rPr>
        <w:t xml:space="preserve">Сертификат </w:t>
      </w:r>
      <w:r>
        <w:rPr>
          <w:color w:val="232323"/>
          <w:spacing w:val="0"/>
          <w:w w:val="100"/>
          <w:position w:val="0"/>
          <w:shd w:val="clear" w:color="auto" w:fill="auto"/>
          <w:lang w:val="ru-RU" w:eastAsia="ru-RU" w:bidi="ru-RU"/>
        </w:rPr>
        <w:t>№ 305Е1878Р7490С46Э04258555А82Е100</w:t>
      </w:r>
    </w:p>
    <w:p>
      <w:pPr>
        <w:pStyle w:val="Style30"/>
        <w:keepNext w:val="0"/>
        <w:keepLines w:val="0"/>
        <w:widowControl w:val="0"/>
        <w:shd w:val="clear" w:color="auto" w:fill="auto"/>
        <w:bidi w:val="0"/>
        <w:spacing w:before="0" w:after="0" w:line="240" w:lineRule="auto"/>
        <w:ind w:left="3260" w:right="0" w:firstLine="0"/>
        <w:jc w:val="left"/>
        <w:sectPr>
          <w:footnotePr>
            <w:pos w:val="pageBottom"/>
            <w:numFmt w:val="decimal"/>
            <w:numRestart w:val="continuous"/>
          </w:footnotePr>
          <w:type w:val="continuous"/>
          <w:pgSz w:w="11900" w:h="16840"/>
          <w:pgMar w:top="1110" w:right="545" w:bottom="163" w:left="1101" w:header="0" w:footer="3" w:gutter="0"/>
          <w:cols w:space="720"/>
          <w:noEndnote/>
          <w:rtlGutter w:val="0"/>
          <w:docGrid w:linePitch="360"/>
        </w:sectPr>
      </w:pPr>
      <w:r>
        <w:rPr>
          <w:color w:val="646464"/>
          <w:spacing w:val="0"/>
          <w:w w:val="100"/>
          <w:position w:val="0"/>
          <w:shd w:val="clear" w:color="auto" w:fill="auto"/>
          <w:lang w:val="ru-RU" w:eastAsia="ru-RU" w:bidi="ru-RU"/>
        </w:rPr>
        <w:t xml:space="preserve">Действителен с 18.10.2023 </w:t>
      </w:r>
      <w:r>
        <w:rPr>
          <w:color w:val="888888"/>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10.01.2025</w:t>
      </w:r>
    </w:p>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Козырев</w:t>
      </w:r>
    </w:p>
    <w:sectPr>
      <w:footerReference w:type="default" r:id="rId14"/>
      <w:footnotePr>
        <w:pos w:val="pageBottom"/>
        <w:numFmt w:val="decimal"/>
        <w:numRestart w:val="continuous"/>
      </w:footnotePr>
      <w:pgSz w:w="11900" w:h="16840"/>
      <w:pgMar w:top="1762" w:right="545" w:bottom="1762" w:left="1101" w:header="133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10037445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90.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9845040</wp:posOffset>
              </wp:positionV>
              <wp:extent cx="6470650" cy="103505"/>
              <wp:wrapNone/>
              <wp:docPr id="5" name="Shape 5"/>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1" type="#_x0000_t202" style="position:absolute;margin-left:56.75pt;margin-top:775.20000000000005pt;width:509.5pt;height:8.1500000000000004pt;z-index:-188744061;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7133590</wp:posOffset>
              </wp:positionH>
              <wp:positionV relativeFrom="page">
                <wp:posOffset>9836150</wp:posOffset>
              </wp:positionV>
              <wp:extent cx="57785" cy="103505"/>
              <wp:wrapNone/>
              <wp:docPr id="31" name="Shape 3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561.70000000000005pt;margin-top:774.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9839325</wp:posOffset>
              </wp:positionV>
              <wp:extent cx="648970" cy="100330"/>
              <wp:wrapNone/>
              <wp:docPr id="33" name="Shape 3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r>
                        </w:p>
                      </w:txbxContent>
                    </wps:txbx>
                    <wps:bodyPr wrap="none" lIns="0" tIns="0" rIns="0" bIns="0">
                      <a:spAutoFit/>
                    </wps:bodyPr>
                  </wps:wsp>
                </a:graphicData>
              </a:graphic>
            </wp:anchor>
          </w:drawing>
        </mc:Choice>
        <mc:Fallback>
          <w:pict>
            <v:shape id="_x0000_s1059" type="#_x0000_t202" style="position:absolute;margin-left:57.pt;margin-top:774.7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720725</wp:posOffset>
              </wp:positionH>
              <wp:positionV relativeFrom="page">
                <wp:posOffset>9845040</wp:posOffset>
              </wp:positionV>
              <wp:extent cx="6470650" cy="103505"/>
              <wp:wrapNone/>
              <wp:docPr id="41" name="Shape 4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67" type="#_x0000_t202" style="position:absolute;margin-left:56.75pt;margin-top:775.20000000000005pt;width:509.5pt;height:8.1500000000000004pt;z-index:-188744055;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2023-4369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Подпись к картинке_"/>
    <w:basedOn w:val="DefaultParagraphFont"/>
    <w:link w:val="Style26"/>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505050"/>
      <w:sz w:val="12"/>
      <w:szCs w:val="12"/>
      <w:u w:val="none"/>
    </w:rPr>
  </w:style>
  <w:style w:type="paragraph" w:customStyle="1" w:styleId="Style2">
    <w:name w:val="Основной текст (5)"/>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4)"/>
    <w:basedOn w:val="Normal"/>
    <w:link w:val="CharStyle11"/>
    <w:pPr>
      <w:widowControl w:val="0"/>
      <w:shd w:val="clear" w:color="auto" w:fill="auto"/>
      <w:spacing w:after="240" w:line="252"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line="214" w:lineRule="auto"/>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Заголовок №1"/>
    <w:basedOn w:val="Normal"/>
    <w:link w:val="CharStyle19"/>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Подпись к картинке"/>
    <w:basedOn w:val="Normal"/>
    <w:link w:val="CharStyle2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30">
    <w:name w:val="Основной текст (2)"/>
    <w:basedOn w:val="Normal"/>
    <w:link w:val="CharStyle31"/>
    <w:pPr>
      <w:widowControl w:val="0"/>
      <w:shd w:val="clear" w:color="auto" w:fill="auto"/>
    </w:pPr>
    <w:rPr>
      <w:rFonts w:ascii="Arial" w:eastAsia="Arial" w:hAnsi="Arial" w:cs="Arial"/>
      <w:b w:val="0"/>
      <w:bCs w:val="0"/>
      <w:i w:val="0"/>
      <w:iCs w:val="0"/>
      <w:smallCaps w:val="0"/>
      <w:strike w:val="0"/>
      <w:color w:val="50505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s>
</file>