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5860" distR="119634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66700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6700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Межрегиональное управление</w:t>
                              <w:br/>
                              <w:t>Федеральной антимонопольной службы</w:t>
                              <w:br/>
                              <w:t>по Ярославской области</w:t>
                              <w:br/>
                              <w:t>и Костромской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Свободы ул., д. 46, г. Ярославль, 150999</w:t>
                              <w:br/>
                              <w:t>тел. (4852) 72-95-20, факс (4852) 32-93-71</w:t>
                              <w:br/>
                              <w:t>е-таП: 1о76(®Га5.йОУ.ги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8.12,2023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СО/3719/2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10.pt;height:162.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Межрегиональное управление</w:t>
                        <w:br/>
                        <w:t>Федеральной антимонопольной службы</w:t>
                        <w:br/>
                        <w:t>по Ярославской области</w:t>
                        <w:br/>
                        <w:t>и Костромской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Свободы ул., д. 46, г. Ярославль, 150999</w:t>
                        <w:br/>
                        <w:t>тел. (4852) 72-95-20, факс (4852) 32-93-71</w:t>
                        <w:br/>
                        <w:t>е-таП: 1о76(®Га5.йОУ.ги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8.12,2023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СО/3719/2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6381115</wp:posOffset>
                </wp:positionH>
                <wp:positionV relativeFrom="paragraph">
                  <wp:posOffset>6903720</wp:posOffset>
                </wp:positionV>
                <wp:extent cx="835025" cy="21653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Ярославль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2.44999999999999pt;margin-top:543.60000000000002pt;width:65.75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Ярославль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 предприниматель Байрамуков А.М.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369228, Карачаево-Черкесская Республика, Ставрополь, ПГТ Новый Карачай, ул. Тоторкулова, д. 8, 151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ахге1Ьаугас@дтаП.сот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общеобразовательное учреждение средняя общеобразовательная школа № 4 муниципального района город Нерехта и Нерехтский район Костромской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157800, Костромская область, Нерехтский район, г. Нерехта, ул. К. Маркса, д. 5 пегеЫа_еде@таП.ш;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8сЬоо14.пегеЫа@дтаП .сот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муниципального района город Нерехта и Нерехтский район Костромской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157800, Костромская обл, г. Нерехта, ул. Победы, д.1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хакирИГу@таП.ш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119435, город Москва, Большой Саввинский переулок, д. 12, стр. 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ко@8ЬегЬапк-аз1.ш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076/06/106-1534/2023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оглашена - 13 декабря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изготовлено - 18 декабря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Межрегионального управления Федеральной антимонопольной службы по Ярославской области и Костромской области (далее — Комиссия Ярославского межрегионального УФАС России;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Охинцева С.Н.;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Суясов А.И.;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Козырев И.В., при ведении аудиозаписи заседания, с участием посредством интернет-видеоконференции представителя по доверенности от Администрации муниципального района город Нерехта и Нерехтский район Костромской области (далее - Уполномоченный орган), в отсутствие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1" w:bottom="938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8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представителей от муниципального общеобразовательного учреждения средняя общеобразовательная школа № 4 муниципального района город Нерехта и Нерехтский район Костромской области (далее - Заказчик) и представителя от индивидуального предпринимателя Байрамукова А.М. (далее - Заявитель), надлежащим образом уведомленных о месте, времени и способах проведения заседания, рассмотрев жалобу Заявителя на положения извещения об осуществлении закупки, и в результате проведения в соответствии с частью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материалам дела, 29.11.2023 г. на официальном сайте в сети «Интернет» в единой информационной системе в сфере закупок 1111р:/Л\л\л\-.хакирк1.до\'.ги (далее - ЕИС) размещено извещение о проведении электронного аукциона на право заключения контракта на оказание охранных услуг (закупка № 0141300026623000085).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511 100,00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06.12.2023 года в адрес Ярославского межрегионального УФАС России от ИП Байрамукова А.М. поступила жалоба по вышеуказанной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обжалует положения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в материалы дела представлены в письменной форме пояснения.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в рассматриваемом случае является оказание охранных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настоящим Федеральным законом лицензированию подлежит частная охранная деятельность (пункт 32 части 1 статьи 12 Федерального закона от 04.05.2011 № 99-ФЗ «О лицензировании отдельных видов деятельности»).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Предоставление лицензий на осуществление частной охранной деятельности производится федеральным органом исполнительной власти, уполномоченным в сфере частной охранной деятельности, или его территориальным органом. Лицензия предоставляется сроком на пять лет и действует на всей территории Российской Федерации. Лицензия содержит вид (виды) охранных услуг, которые может оказывать лицензиат. Решение о предоставлении либо об отказе в предоставлении лицензии принимается в срок не более сорока пяти дней.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Правительством Российской Федерации утверждается положение о лицензировании частной охранной деятельности, в котором устанавливаются порядок лицензирования данного вида деятельности и перечень лицензионных требований по каждому виду охранных услуг, предусмотренных частью третьей статьи 3 настоящего Закона (статья 11.2 Закон РФ от 11.03.1992 № 2487-1 «О частной детективной и охранной деятельности в Российской Федерации»).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пункта 2 Положения о лицензировании частной охранной деятельности, утвержденного Постановлением Правительства Российской Федерации от 23.06.2011 года № 498, лицензия на осуществление охранной деятельности предоставляется юридическим лицам, специально учрежденным для осуществления охранной деятельности, сроком на 5 лет территориальными органами Федеральной службы войск национальной гвардии Российской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3 статье 3 Закона Российской Федерации от 11.03.1992 «2487-1 «О частной детективной и охранной деятельности в Российской Федерации» (далее - Закон о охранной деятельности) в целях охраны разрешается предоставление, в том числе следующих видов услуг: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частей 11 и 15.1 Закон о охранной деятельности оказание услуг, перечисленных в части третьей статьи 3 настоящего Закона, разрешается только организациям, специально учреждаемым для их выполнения и имеющим лицензию, предоставленную федеральным органом исполнительной власти, уполномоченным в сфере частной охранной деятельности, или его территориальным органом.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Частная охранная организация может быть создана только в форме общества с ограниченной ответственностью и не может осуществлять иную деятельность, кроме охранной.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0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извещении о проведении рассматриваемой закупки установлено требование к участникам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закупок в соответствии с п. 1 ч. 1 ст, 31 Закона № 44-ФЗ: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Федерального закона от 04.05.2011 № 99-ФЗ «О лицензировании отдельных видов деятельности», в соответствии с Законом РФ от 11.03.1992 № 2487-1 «О частной детективной и охранной деятельности в Российской Федерации» и постановлением Правительства Российской Федерации от 23.06.2011 № 498 «О некоторых вопросах осуществления частной детективной (сыскной) и частной охранной деятельности»: Наличие действующей лицензии на осуществление частной охранной деятельности с перечнем разрешенных видов деятельности: - обеспечение порядка в местах проведения массовых мероприятий; 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 Федерации от 11 марта 1992 г. № 2487-1 "О частной детективной и охранной деятельности в Российской Федерации". ИЛИ Наличие выписки из реестра лицензий (Типовая форма утверждена Постановлением Правительства РФ от 29.12.2020 № 2343) с перечнем разрешенных видов деятельности: - обеспечение порядка в местах проведения массовых мероприятий; 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 Федерации от 11 марта 1992 г. № 2487-1 "О частной детективной и охранной деятельности в Российской Федерации".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жалобы является индивидуальный предприниматель. Заявитель жалобы в силу приведенных положений отраслевого законодательства не обладает указанной правоспособностью (лицензия на охранную деятельность) и, соответственно, не может являться потенциальным участником настоящей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Также, в жалобе не указано какие права и законные интересы заявителя нарушены оспариваемыми положениями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жалоба ИП Байрамукова А.М. должна быть оставлена без рассмотрения.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руководствуясь статьей 105 Закона о контрактной системе, Комиссия Ярославского межрегионального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Оставить жалобу ИП Байрамукова А.М. без рассмотрения.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дня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3" w:bottom="158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86715" distL="0" distR="0" simplePos="0" relativeHeight="125829383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50800</wp:posOffset>
                </wp:positionV>
                <wp:extent cx="1572895" cy="2197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4.pt;width:123.85000000000001pt;height:17.300000000000001pt;z-index:-125829370;mso-wrap-distance-left:0;mso-wrap-distance-top:4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3825" distB="0" distL="0" distR="1786255" simplePos="0" relativeHeight="125829385" behindDoc="0" locked="0" layoutInCell="1" allowOverlap="1">
            <wp:simplePos x="0" y="0"/>
            <wp:positionH relativeFrom="page">
              <wp:posOffset>3133725</wp:posOffset>
            </wp:positionH>
            <wp:positionV relativeFrom="paragraph">
              <wp:posOffset>123825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3590925</wp:posOffset>
                </wp:positionH>
                <wp:positionV relativeFrom="paragraph">
                  <wp:posOffset>523240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2.75pt;margin-top:41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212090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9.40000000000003pt;margin-top:16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86715" distL="0" distR="0" simplePos="0" relativeHeight="125829386" behindDoc="0" locked="0" layoutInCell="1" allowOverlap="1">
                <wp:simplePos x="0" y="0"/>
                <wp:positionH relativeFrom="page">
                  <wp:posOffset>6202680</wp:posOffset>
                </wp:positionH>
                <wp:positionV relativeFrom="paragraph">
                  <wp:posOffset>50800</wp:posOffset>
                </wp:positionV>
                <wp:extent cx="99060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С.Н. Охинцева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8.40000000000003pt;margin-top:4.pt;width:78.pt;height:17.300000000000001pt;z-index:-125829367;mso-wrap-distance-left:0;mso-wrap-distance-top:4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С.Н. Охинцева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4747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Охинцева Светлана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00СА79О0А734ЕЕ149813891 5ВЕ46Е1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1071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09.02.2023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04.05.2024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3164205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3557270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10000000000002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А.И. Суясов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6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Суясов Андрей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00ЕС340А9Е59ЕА7А57475С62АЕЕ8О7АЕ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6282055</wp:posOffset>
                </wp:positionH>
                <wp:positionV relativeFrom="paragraph">
                  <wp:posOffset>304800</wp:posOffset>
                </wp:positionV>
                <wp:extent cx="905510" cy="216535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И.В. Козырев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4.65000000000003pt;margin-top:24.pt;width:71.299999999999997pt;height:17.050000000000001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И.В. Козырев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18.10.2023 по 10.01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5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6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Козырев Игорь Викторович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305Е1878Е7490С46Э04258555А82Е100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18.10.2023 по 10.01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55" w:bottom="1671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10037445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90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9839325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74.7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5000000000003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24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 w:line="21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ind w:left="311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after="100"/>
      <w:ind w:left="45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