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1782445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822325</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54016/23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75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54016/23</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ГБУЗ ГП № 212 ДЗМ</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др2124тт@тай.ги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ООО «МСК»</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т16@т8ктеШса1.гн</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1380" w:line="240" w:lineRule="auto"/>
        <w:ind w:left="5320" w:right="0" w:firstLine="0"/>
        <w:jc w:val="left"/>
      </w:pPr>
      <w:r>
        <w:rPr>
          <w:color w:val="000000"/>
          <w:spacing w:val="0"/>
          <w:w w:val="100"/>
          <w:position w:val="0"/>
          <w:shd w:val="clear" w:color="auto" w:fill="auto"/>
          <w:lang w:val="ru-RU" w:eastAsia="ru-RU" w:bidi="ru-RU"/>
        </w:rPr>
        <w:t>ко@го8екогд.гн</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077/06/106-17373/2023 о нарушении</w:t>
        <w:br/>
        <w:t>законодательства о контрактной системе</w:t>
        <w:br/>
        <w:t>13.12.2023</w:t>
        <w:tab/>
        <w:t>г. Москва</w:t>
      </w:r>
    </w:p>
    <w:p>
      <w:pPr>
        <w:pStyle w:val="Style6"/>
        <w:keepNext w:val="0"/>
        <w:keepLines w:val="0"/>
        <w:widowControl w:val="0"/>
        <w:shd w:val="clear" w:color="auto" w:fill="auto"/>
        <w:bidi w:val="0"/>
        <w:spacing w:before="0" w:after="0" w:line="216" w:lineRule="auto"/>
        <w:ind w:left="0" w:right="0" w:firstLine="68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21" w:lineRule="auto"/>
        <w:ind w:left="0" w:right="0" w:firstLine="68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11" w:lineRule="auto"/>
        <w:ind w:left="0" w:right="0" w:firstLine="6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w:t>
        <w:softHyphen/>
        <w:t>связи),</w:t>
      </w:r>
    </w:p>
    <w:p>
      <w:pPr>
        <w:pStyle w:val="Style6"/>
        <w:keepNext w:val="0"/>
        <w:keepLines w:val="0"/>
        <w:widowControl w:val="0"/>
        <w:shd w:val="clear" w:color="auto" w:fill="auto"/>
        <w:bidi w:val="0"/>
        <w:spacing w:before="0" w:after="0" w:line="216" w:lineRule="auto"/>
        <w:ind w:left="0" w:right="0" w:firstLine="680"/>
        <w:jc w:val="both"/>
      </w:pPr>
      <w:r>
        <w:rPr>
          <w:color w:val="000000"/>
          <w:spacing w:val="0"/>
          <w:w w:val="100"/>
          <w:position w:val="0"/>
          <w:shd w:val="clear" w:color="auto" w:fill="auto"/>
          <w:lang w:val="ru-RU" w:eastAsia="ru-RU" w:bidi="ru-RU"/>
        </w:rPr>
        <w:t>в отсутствие представителей ООО «МСК», ГБУЗ ГП № 212 ДЗМ,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1080" w:line="216" w:lineRule="auto"/>
        <w:ind w:left="0" w:right="0" w:firstLine="680"/>
        <w:jc w:val="both"/>
      </w:pPr>
      <w:r>
        <w:rPr>
          <w:color w:val="000000"/>
          <w:spacing w:val="0"/>
          <w:w w:val="100"/>
          <w:position w:val="0"/>
          <w:shd w:val="clear" w:color="auto" w:fill="auto"/>
          <w:lang w:val="ru-RU" w:eastAsia="ru-RU" w:bidi="ru-RU"/>
        </w:rPr>
        <w:t>рассмотрев жалобу ООО «МСК» (далее — Заявитель) на действия ГБУЗ «ГП № 212 ДЗМ» (далее — Заказчик) при проведении электронного аукциона на право заключения государственного контракта на поставку лекарственных препаратов (Йогексол, Гадотеровая кислота) для нужд ГБУЗ «ГП № 212 ДЗМ» (Закупка № 0373200060323000089)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23"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14"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18"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05.12.2023 №ИЭА1 заявка Заявителя (идентификационный номер заявки 280217) отклонена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w:t>
      </w:r>
    </w:p>
    <w:p>
      <w:pPr>
        <w:pStyle w:val="Style6"/>
        <w:keepNext w:val="0"/>
        <w:keepLines w:val="0"/>
        <w:widowControl w:val="0"/>
        <w:shd w:val="clear" w:color="auto" w:fill="auto"/>
        <w:bidi w:val="0"/>
        <w:spacing w:before="0" w:after="0" w:line="223" w:lineRule="auto"/>
        <w:ind w:left="0" w:right="0" w:firstLine="700"/>
        <w:jc w:val="both"/>
      </w:pPr>
      <w:r>
        <w:rPr>
          <w:i/>
          <w:iCs/>
          <w:color w:val="000000"/>
          <w:spacing w:val="0"/>
          <w:w w:val="100"/>
          <w:position w:val="0"/>
          <w:shd w:val="clear" w:color="auto" w:fill="auto"/>
          <w:lang w:val="ru-RU" w:eastAsia="ru-RU" w:bidi="ru-RU"/>
        </w:rPr>
        <w:t>В инструкции лекарственного препарата позиции № 3 в разделе «Способ применения и дозы» отсутствует подтвержденная возможность корректировать температуру препарата (до температуры тела) непосредственно перед введением</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товарам, в частности:</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 xml:space="preserve">по п. 3 «Йогексол 350 мг йода/мл»: «Показатели, позволяющие определить соответствие закупаемых лекарственных препаратов установленным характеристикам: </w:t>
      </w:r>
      <w:r>
        <w:rPr>
          <w:i/>
          <w:iCs/>
          <w:color w:val="000000"/>
          <w:spacing w:val="0"/>
          <w:w w:val="100"/>
          <w:position w:val="0"/>
          <w:shd w:val="clear" w:color="auto" w:fill="auto"/>
          <w:lang w:val="ru-RU" w:eastAsia="ru-RU" w:bidi="ru-RU"/>
        </w:rPr>
        <w:t>в инструкции по медицинскому применению</w:t>
      </w:r>
      <w:r>
        <w:rPr>
          <w:color w:val="000000"/>
          <w:spacing w:val="0"/>
          <w:w w:val="100"/>
          <w:position w:val="0"/>
          <w:shd w:val="clear" w:color="auto" w:fill="auto"/>
          <w:lang w:val="ru-RU" w:eastAsia="ru-RU" w:bidi="ru-RU"/>
        </w:rPr>
        <w:t>, в разделе «способ применения и дозы», должна быть указана возможность корректировать температуру препарата (до температуры тела) непосредственно перед введением - необходимо для улучшения переносимости пациентам».</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16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166" w:val="left"/>
        </w:tabs>
        <w:bidi w:val="0"/>
        <w:spacing w:before="0" w:after="0" w:line="223"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16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16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166" w:val="left"/>
        </w:tabs>
        <w:bidi w:val="0"/>
        <w:spacing w:before="0" w:after="0" w:line="223"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Заявитель представил сведения об объекте закупки, в частности:</w:t>
      </w:r>
    </w:p>
    <w:p>
      <w:pPr>
        <w:pStyle w:val="Style6"/>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по п. 3 «Ниоскан» раствор для инъекций 350мг йода/мл 100мл флаконы 10 коробки картонные для стационаров, «Джодас Экспоим Пвт.Лтд», Индия.</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Также в составе заявки Заявителя представлено регистрационное удостоверение № ЛП-004432 от 28.08.2017 на «Ниоскан», МНН: Йогексол, производитель «Джодас Экспоим Пвт.Лтд», Индия.</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отсутствовал, при этом в составе жалобы Заявитель ссылается на то, что согласно Письму ФАС России от 03.05.2023 № МШ/34755/23 все лекарства с действующим веществом МНН: Йогексол обладают возможностью нагрева препарата до температуры тела (до 37 °С), в том числе, и предложенный Заявителем «Ниоскан» производства «Джодас Экспоим Пвт.Лтд».</w:t>
      </w:r>
    </w:p>
    <w:p>
      <w:pPr>
        <w:pStyle w:val="Style6"/>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предложенный Заявителем к поставке лекарственный препарат по п. 3 «Ниоскан» не соответствует требованиям Технического задания, поскольку согласно инструкции по медицинскому применению на данный препарат в разделе «Способ применения и дозы» отсутствует указание на возможность нагрева препарата до температуры тела.</w:t>
      </w:r>
    </w:p>
    <w:p>
      <w:pPr>
        <w:pStyle w:val="Style6"/>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На основании вышеизложенного, у Комиссии Управления приходит к к выводу, что предложение Заявителя по п. 3 «Йогексол 350 мг йода/мл» не соответствует требованиям Технического задания.</w:t>
      </w:r>
    </w:p>
    <w:p>
      <w:pPr>
        <w:pStyle w:val="Style6"/>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Закона о контрактной системе.</w:t>
      </w:r>
    </w:p>
    <w:p>
      <w:pPr>
        <w:pStyle w:val="Style6"/>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00"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0"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0"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3"/>
        </w:numPr>
        <w:shd w:val="clear" w:color="auto" w:fill="auto"/>
        <w:tabs>
          <w:tab w:pos="1100" w:val="left"/>
        </w:tabs>
        <w:bidi w:val="0"/>
        <w:spacing w:before="0" w:after="0" w:line="216"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00" w:val="left"/>
        </w:tabs>
        <w:bidi w:val="0"/>
        <w:spacing w:before="0" w:after="0" w:line="214"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 5 ч. 1 ст. 43 Закона о контрактной системе, если такие документы предусмотрены </w:t>
      </w:r>
      <w:r>
        <w:rPr>
          <w:color w:val="000000"/>
          <w:spacing w:val="0"/>
          <w:w w:val="100"/>
          <w:position w:val="0"/>
          <w:shd w:val="clear" w:color="auto" w:fill="auto"/>
          <w:lang w:val="ru-RU" w:eastAsia="ru-RU" w:bidi="ru-RU"/>
        </w:rPr>
        <w:t>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105"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5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100" w:val="left"/>
        </w:tabs>
        <w:bidi w:val="0"/>
        <w:spacing w:before="0" w:after="0" w:line="214" w:lineRule="auto"/>
        <w:ind w:left="0" w:right="0" w:firstLine="7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100" w:val="left"/>
        </w:tabs>
        <w:bidi w:val="0"/>
        <w:spacing w:before="0" w:after="0" w:line="214" w:lineRule="auto"/>
        <w:ind w:left="0" w:right="0" w:firstLine="7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отклонения заявки Заявителя и решение комиссии Заказчика по основанию, отраженному в протоколе подведения итогов определения поставщика (подрядчика, исполнителя), является правомерным, в связи с чем данный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21" w:lineRule="auto"/>
        <w:ind w:left="0" w:right="0" w:firstLine="76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Комиссия Управления установила следующее.</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п.6 ч.1 ст.33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пп.«г» п.2 ч.10 ст.24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п.6 ч.1 ст.33 Закона о контрактной системе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ст.111.4 Закона о контрактной системе.</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ч.5 ст.33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 утверждены Постановлением Правительства РФ от 15 ноября 2017 г.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№1380).</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пп. «б» п.2 Особенностей, утвержденных Постановление №1380, при описании объекта закупки заказчики помимо сведений, предусмотренных п.6 ч.1 ст.33 Закона о контрактной системе, указывают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указывается: 1 таблетка с дозировкой 300 мг или 2 таблетки 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pPr>
        <w:pStyle w:val="Style6"/>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В соответствии с п.5 Особенностей, утвержденных Постановление №1380, при описании объекта закупки не допускается указывать:</w:t>
      </w:r>
    </w:p>
    <w:p>
      <w:pPr>
        <w:pStyle w:val="Style6"/>
        <w:keepNext w:val="0"/>
        <w:keepLines w:val="0"/>
        <w:widowControl w:val="0"/>
        <w:numPr>
          <w:ilvl w:val="0"/>
          <w:numId w:val="5"/>
        </w:numPr>
        <w:shd w:val="clear" w:color="auto" w:fill="auto"/>
        <w:tabs>
          <w:tab w:pos="1115" w:val="left"/>
        </w:tabs>
        <w:bidi w:val="0"/>
        <w:spacing w:before="0" w:after="0" w:line="218" w:lineRule="auto"/>
        <w:ind w:left="0" w:right="0" w:firstLine="760"/>
        <w:jc w:val="both"/>
      </w:pPr>
      <w:r>
        <w:rPr>
          <w:color w:val="000000"/>
          <w:spacing w:val="0"/>
          <w:w w:val="100"/>
          <w:position w:val="0"/>
          <w:shd w:val="clear" w:color="auto" w:fill="auto"/>
          <w:lang w:val="ru-RU" w:eastAsia="ru-RU" w:bidi="ru-RU"/>
        </w:rPr>
        <w:t>эквивалентные дозировки лекарственного препарата, предусматривающие необходимость деления твердой лекарственной формы препарата;</w:t>
      </w:r>
    </w:p>
    <w:p>
      <w:pPr>
        <w:pStyle w:val="Style6"/>
        <w:keepNext w:val="0"/>
        <w:keepLines w:val="0"/>
        <w:widowControl w:val="0"/>
        <w:numPr>
          <w:ilvl w:val="0"/>
          <w:numId w:val="5"/>
        </w:numPr>
        <w:shd w:val="clear" w:color="auto" w:fill="auto"/>
        <w:tabs>
          <w:tab w:pos="1135"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pPr>
        <w:pStyle w:val="Style6"/>
        <w:keepNext w:val="0"/>
        <w:keepLines w:val="0"/>
        <w:widowControl w:val="0"/>
        <w:numPr>
          <w:ilvl w:val="0"/>
          <w:numId w:val="5"/>
        </w:numPr>
        <w:shd w:val="clear" w:color="auto" w:fill="auto"/>
        <w:tabs>
          <w:tab w:pos="1125" w:val="left"/>
        </w:tabs>
        <w:bidi w:val="0"/>
        <w:spacing w:before="0" w:after="0" w:line="218" w:lineRule="auto"/>
        <w:ind w:left="0" w:right="0" w:firstLine="760"/>
        <w:jc w:val="both"/>
      </w:pPr>
      <w:r>
        <w:rPr>
          <w:color w:val="000000"/>
          <w:spacing w:val="0"/>
          <w:w w:val="100"/>
          <w:position w:val="0"/>
          <w:shd w:val="clear" w:color="auto" w:fill="auto"/>
          <w:lang w:val="ru-RU" w:eastAsia="ru-RU" w:bidi="ru-RU"/>
        </w:rPr>
        <w:t>объем наполнения первичной упаковки лекарственного препарата, за исключением растворов для инфузий;</w:t>
      </w:r>
    </w:p>
    <w:p>
      <w:pPr>
        <w:pStyle w:val="Style6"/>
        <w:keepNext w:val="0"/>
        <w:keepLines w:val="0"/>
        <w:widowControl w:val="0"/>
        <w:numPr>
          <w:ilvl w:val="0"/>
          <w:numId w:val="5"/>
        </w:numPr>
        <w:shd w:val="clear" w:color="auto" w:fill="auto"/>
        <w:tabs>
          <w:tab w:pos="183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наличие (отсутствие) вспомогательных веществ;</w:t>
      </w:r>
    </w:p>
    <w:p>
      <w:pPr>
        <w:pStyle w:val="Style6"/>
        <w:keepNext w:val="0"/>
        <w:keepLines w:val="0"/>
        <w:widowControl w:val="0"/>
        <w:numPr>
          <w:ilvl w:val="0"/>
          <w:numId w:val="5"/>
        </w:numPr>
        <w:shd w:val="clear" w:color="auto" w:fill="auto"/>
        <w:tabs>
          <w:tab w:pos="1130" w:val="left"/>
        </w:tabs>
        <w:bidi w:val="0"/>
        <w:spacing w:before="0" w:after="0" w:line="218" w:lineRule="auto"/>
        <w:ind w:left="0" w:right="0" w:firstLine="760"/>
        <w:jc w:val="both"/>
      </w:pPr>
      <w:r>
        <w:rPr>
          <w:color w:val="000000"/>
          <w:spacing w:val="0"/>
          <w:w w:val="100"/>
          <w:position w:val="0"/>
          <w:shd w:val="clear" w:color="auto" w:fill="auto"/>
          <w:lang w:val="ru-RU" w:eastAsia="ru-RU" w:bidi="ru-RU"/>
        </w:rPr>
        <w:t>фиксированный температурный режим хранения препаратов при наличии альтернативного;</w:t>
      </w:r>
    </w:p>
    <w:p>
      <w:pPr>
        <w:pStyle w:val="Style6"/>
        <w:keepNext w:val="0"/>
        <w:keepLines w:val="0"/>
        <w:widowControl w:val="0"/>
        <w:numPr>
          <w:ilvl w:val="0"/>
          <w:numId w:val="5"/>
        </w:numPr>
        <w:shd w:val="clear" w:color="auto" w:fill="auto"/>
        <w:tabs>
          <w:tab w:pos="1111" w:val="left"/>
        </w:tabs>
        <w:bidi w:val="0"/>
        <w:spacing w:before="0" w:after="0" w:line="218" w:lineRule="auto"/>
        <w:ind w:left="0" w:right="0" w:firstLine="760"/>
        <w:jc w:val="both"/>
      </w:pPr>
      <w:r>
        <w:rPr>
          <w:color w:val="000000"/>
          <w:spacing w:val="0"/>
          <w:w w:val="100"/>
          <w:position w:val="0"/>
          <w:shd w:val="clear" w:color="auto" w:fill="auto"/>
          <w:lang w:val="ru-RU" w:eastAsia="ru-RU" w:bidi="ru-RU"/>
        </w:rPr>
        <w:t>форму выпуска (первичной упаковки) лекарственного препарата (например, «ампула», «флакон», «блистер» и др.);</w:t>
      </w:r>
    </w:p>
    <w:p>
      <w:pPr>
        <w:pStyle w:val="Style6"/>
        <w:keepNext w:val="0"/>
        <w:keepLines w:val="0"/>
        <w:widowControl w:val="0"/>
        <w:numPr>
          <w:ilvl w:val="0"/>
          <w:numId w:val="5"/>
        </w:numPr>
        <w:shd w:val="clear" w:color="auto" w:fill="auto"/>
        <w:tabs>
          <w:tab w:pos="1187" w:val="left"/>
        </w:tabs>
        <w:bidi w:val="0"/>
        <w:spacing w:before="0" w:after="0" w:line="218" w:lineRule="auto"/>
        <w:ind w:left="0" w:right="0" w:firstLine="760"/>
        <w:jc w:val="both"/>
      </w:pPr>
      <w:r>
        <w:rPr>
          <w:color w:val="000000"/>
          <w:spacing w:val="0"/>
          <w:w w:val="100"/>
          <w:position w:val="0"/>
          <w:shd w:val="clear" w:color="auto" w:fill="auto"/>
          <w:lang w:val="ru-RU" w:eastAsia="ru-RU" w:bidi="ru-RU"/>
        </w:rPr>
        <w:t>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pPr>
        <w:pStyle w:val="Style6"/>
        <w:keepNext w:val="0"/>
        <w:keepLines w:val="0"/>
        <w:widowControl w:val="0"/>
        <w:numPr>
          <w:ilvl w:val="0"/>
          <w:numId w:val="5"/>
        </w:numPr>
        <w:shd w:val="clear" w:color="auto" w:fill="auto"/>
        <w:tabs>
          <w:tab w:pos="110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требования к показателям фармакодинамики и (или) фармакокинетики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pPr>
        <w:pStyle w:val="Style6"/>
        <w:keepNext w:val="0"/>
        <w:keepLines w:val="0"/>
        <w:widowControl w:val="0"/>
        <w:numPr>
          <w:ilvl w:val="0"/>
          <w:numId w:val="5"/>
        </w:numPr>
        <w:shd w:val="clear" w:color="auto" w:fill="auto"/>
        <w:tabs>
          <w:tab w:pos="1139"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п.6 Особенностей, утвержденных Постановление №1380, описание объекта закупки может содержать указание на характеристики, предусмотренные пп.«в» - «и» п.5 Особенностей, в случае, если не имеется иной возможности описать лекарственные препараты. При этом описание объекта закупки должно содержать:</w:t>
      </w:r>
    </w:p>
    <w:p>
      <w:pPr>
        <w:pStyle w:val="Style6"/>
        <w:keepNext w:val="0"/>
        <w:keepLines w:val="0"/>
        <w:widowControl w:val="0"/>
        <w:numPr>
          <w:ilvl w:val="0"/>
          <w:numId w:val="7"/>
        </w:numPr>
        <w:shd w:val="clear" w:color="auto" w:fill="auto"/>
        <w:tabs>
          <w:tab w:pos="1131"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обоснование необходимости указания таких характеристик;</w:t>
      </w:r>
    </w:p>
    <w:p>
      <w:pPr>
        <w:pStyle w:val="Style6"/>
        <w:keepNext w:val="0"/>
        <w:keepLines w:val="0"/>
        <w:widowControl w:val="0"/>
        <w:numPr>
          <w:ilvl w:val="0"/>
          <w:numId w:val="7"/>
        </w:numPr>
        <w:shd w:val="clear" w:color="auto" w:fill="auto"/>
        <w:tabs>
          <w:tab w:pos="1349"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требования к закупаемым препаратам, в частности:</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по п. 3 «Йогексол 350 мг йода/мл»: «Показатели, позволяющие определить соответствие закупаемых лекарственных препаратов установленным характеристикам: в инструкции по медицинскому применению, в разделе «способ применения и дозы», должна быть указана возможность корректировать температуру препарата (до температуры тела) непосредственно перед введением - необходимо для улучшения переносимости пациентам».</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Вместе с тем, Комиссия Управления отмечает, что согласно позиции ФГБУ «НЦЭСМП» Минздрава России (№25-6/4906 от 24.05.2023) представленные в инструкции по медицинскому применению лекарственного препарата «Омнипак» сведения о возможности нагрева до температуры тела (до 37 °С) не являются исключительной особенностью данного лекарственного препарата и относятся ко всем лекарственным препаратам с МНН «Йогексол».</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любой лекарственный препарат МНН «Йогексол», в том числе и лекарственный препарат ТН «Ниоскан», предложенный Заявителем, имеет возможность нагрева до температуры тела (до 37 °С).</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Комиссия Управления отмечает, что все лекарственные препараты с МНН «Йогексол» имеют возможность нагрева до температуры тела (до 37 °С), при этом для препаратов с одинаковыми действующими веществами, МНН и группировочными наименованиями в одинаковой лекарственной форме и дозировке возможно их применение при одинаковых показаниях противопоказаниях на одной и той же группе пациентов с достижением сопоставимого терапевтического (диагностического) эффекта.</w:t>
      </w:r>
    </w:p>
    <w:p>
      <w:pPr>
        <w:pStyle w:val="Style6"/>
        <w:keepNext w:val="0"/>
        <w:keepLines w:val="0"/>
        <w:widowControl w:val="0"/>
        <w:shd w:val="clear" w:color="auto" w:fill="auto"/>
        <w:bidi w:val="0"/>
        <w:spacing w:before="0" w:after="0" w:line="218" w:lineRule="auto"/>
        <w:ind w:left="0" w:right="0" w:firstLine="760"/>
        <w:jc w:val="both"/>
      </w:pPr>
      <w:r>
        <w:rPr>
          <w:color w:val="000000"/>
          <w:spacing w:val="0"/>
          <w:w w:val="100"/>
          <w:position w:val="0"/>
          <w:shd w:val="clear" w:color="auto" w:fill="auto"/>
          <w:lang w:val="ru-RU" w:eastAsia="ru-RU" w:bidi="ru-RU"/>
        </w:rPr>
        <w:t>Аналогичная позиция отражена также в письме ФГБУ «НЦЭСМП» Минздрава России № 25-6/4906 от 24.05.2023.</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Комиссия Управления также отмечает, что отсутствие прямого указания в инструкции по применению лекарственного средства о возможности до температуры 37°С, при указании в инструкции на возможность нагрева препарата до температуры тела, не свидетельствует о несоответствии препарата требованиям описания объекта закупки, в то же время инструкции всех лекарственных препаратов с МНН «Йогексол» содержат показатель «осмоляльность 37 °С», из чего можно сделать вывод о допустимости нагрева лекарственного препарата до 37 °С.</w:t>
      </w:r>
    </w:p>
    <w:p>
      <w:pPr>
        <w:pStyle w:val="Style6"/>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установленное требование Заказчика о содержании в инструкции по медицинскому применению, в разделе «способ применения и дозы», возможности корректировки температуры препарата (до температуры тела) непосредственно перед введением является неправомерным и приводит к сокращению количества участников закупки.</w:t>
      </w:r>
    </w:p>
    <w:p>
      <w:pPr>
        <w:pStyle w:val="Style6"/>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Аналогичная позиция отражена в письме ФАС России № МШ/34755/23 от 03.05.2023.</w:t>
      </w:r>
    </w:p>
    <w:p>
      <w:pPr>
        <w:pStyle w:val="Style6"/>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п.1 ч.1 ст. 33, п.3 ч.2 ст.42 Закона о контрактной системе, что также образует состав административного правонарушения, ответственность за которое</w:t>
        <w:br w:type="page"/>
      </w:r>
      <w:r>
        <w:rPr>
          <w:color w:val="000000"/>
          <w:spacing w:val="0"/>
          <w:w w:val="100"/>
          <w:position w:val="0"/>
          <w:shd w:val="clear" w:color="auto" w:fill="auto"/>
          <w:lang w:val="ru-RU" w:eastAsia="ru-RU" w:bidi="ru-RU"/>
        </w:rPr>
        <w:t>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280" w:line="214"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1.Признать жалобу ООО «МСК» на действия комиссии ГБУЗ ГП № 212 ДЗМ необоснованной.</w:t>
      </w:r>
    </w:p>
    <w:p>
      <w:pPr>
        <w:pStyle w:val="Style6"/>
        <w:keepNext w:val="0"/>
        <w:keepLines w:val="0"/>
        <w:widowControl w:val="0"/>
        <w:shd w:val="clear" w:color="auto" w:fill="auto"/>
        <w:bidi w:val="0"/>
        <w:spacing w:before="0" w:after="0" w:line="218"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нарушение п.1 ч.1 ст. 33, п.3 ч.2 ст.42 Закона о контрактной системе.</w:t>
      </w:r>
    </w:p>
    <w:p>
      <w:pPr>
        <w:pStyle w:val="Style6"/>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80" w:line="216"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96" w:right="535" w:bottom="983" w:left="1098" w:header="0" w:footer="3" w:gutter="0"/>
          <w:pgNumType w:start="1"/>
          <w:cols w:space="720"/>
          <w:noEndnote/>
          <w:titlePg/>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730885</wp:posOffset>
                </wp:positionH>
                <wp:positionV relativeFrom="paragraph">
                  <wp:posOffset>127000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550000000000004pt;margin-top:10.pt;width:145.70000000000002pt;height:19.900000000000002pt;z-index:-125829372;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9430" simplePos="0" relativeHeight="125829383" behindDoc="0" locked="0" layoutInCell="1" allowOverlap="1">
            <wp:simplePos x="0" y="0"/>
            <wp:positionH relativeFrom="page">
              <wp:posOffset>3105150</wp:posOffset>
            </wp:positionH>
            <wp:positionV relativeFrom="paragraph">
              <wp:posOffset>200025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3565525</wp:posOffset>
                </wp:positionH>
                <wp:positionV relativeFrom="paragraph">
                  <wp:posOffset>602615</wp:posOffset>
                </wp:positionV>
                <wp:extent cx="1276985" cy="100330"/>
                <wp:wrapNone/>
                <wp:docPr id="15" name="Shape 15"/>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80.75pt;margin-top:47.450000000000003pt;width:100.55pt;height:7.9000000000000004pt;z-index:251657729;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291465</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15000000000003pt;margin-top:22.949999999999999pt;width:135.84999999999999pt;height:20.150000000000002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6034405</wp:posOffset>
                </wp:positionH>
                <wp:positionV relativeFrom="paragraph">
                  <wp:posOffset>127000</wp:posOffset>
                </wp:positionV>
                <wp:extent cx="1182370" cy="252730"/>
                <wp:wrapTopAndBottom/>
                <wp:docPr id="19" name="Shape 19"/>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5" type="#_x0000_t202" style="position:absolute;margin-left:475.15000000000003pt;margin-top:10.pt;width:93.100000000000009pt;height:19.900000000000002pt;z-index:-125829369;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1"/>
        <w:keepNext w:val="0"/>
        <w:keepLines w:val="0"/>
        <w:widowControl w:val="0"/>
        <w:shd w:val="clear" w:color="auto" w:fill="auto"/>
        <w:bidi w:val="0"/>
        <w:spacing w:before="0" w:after="0" w:line="240" w:lineRule="auto"/>
        <w:ind w:right="0" w:firstLine="0"/>
        <w:jc w:val="left"/>
      </w:pPr>
      <w:r>
        <w:rPr>
          <w:color w:val="22222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00Е9СЕАА6ОО6САС20О424А9502ЕС296Е8</w:t>
      </w:r>
      <w:r>
        <w:rPr>
          <w:color w:val="222222"/>
          <w:spacing w:val="0"/>
          <w:w w:val="100"/>
          <w:position w:val="0"/>
          <w:shd w:val="clear" w:color="auto" w:fill="auto"/>
          <w:lang w:val="ru-RU" w:eastAsia="ru-RU" w:bidi="ru-RU"/>
        </w:rPr>
        <w:t>:</w:t>
      </w:r>
    </w:p>
    <w:p>
      <w:pPr>
        <w:pStyle w:val="Style21"/>
        <w:keepNext w:val="0"/>
        <w:keepLines w:val="0"/>
        <w:widowControl w:val="0"/>
        <w:shd w:val="clear" w:color="auto" w:fill="auto"/>
        <w:bidi w:val="0"/>
        <w:spacing w:before="0" w:after="26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22.12.2022 по 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820"/>
        <w:jc w:val="left"/>
      </w:pPr>
      <w:r>
        <w:drawing>
          <wp:anchor distT="0" distB="0" distL="114300" distR="1903730" simplePos="0" relativeHeight="125829386" behindDoc="0" locked="0" layoutInCell="1" allowOverlap="1">
            <wp:simplePos x="0" y="0"/>
            <wp:positionH relativeFrom="page">
              <wp:posOffset>3105150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3565525</wp:posOffset>
                </wp:positionH>
                <wp:positionV relativeFrom="paragraph">
                  <wp:posOffset>462915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75pt;margin-top:36.450000000000003pt;width:101.05pt;height:8.1500000000000004pt;z-index:251657733;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3519805</wp:posOffset>
                </wp:positionH>
                <wp:positionV relativeFrom="paragraph">
                  <wp:posOffset>151765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15000000000003pt;margin-top:11.950000000000001pt;width:135.84999999999999pt;height:20.150000000000002pt;z-index:2516577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44СЕ019О689ЕВ23598ВССВЕ99Е1С6Е2С</w:t>
      </w:r>
    </w:p>
    <w:p>
      <w:pPr>
        <w:pStyle w:val="Style21"/>
        <w:keepNext w:val="0"/>
        <w:keepLines w:val="0"/>
        <w:widowControl w:val="0"/>
        <w:shd w:val="clear" w:color="auto" w:fill="auto"/>
        <w:bidi w:val="0"/>
        <w:spacing w:before="0" w:after="26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10.04.2023 </w:t>
      </w:r>
      <w:r>
        <w:rPr>
          <w:color w:val="000000"/>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03.07.2024</w:t>
      </w:r>
    </w:p>
    <w:p>
      <w:pPr>
        <w:pStyle w:val="Style6"/>
        <w:keepNext w:val="0"/>
        <w:keepLines w:val="0"/>
        <w:widowControl w:val="0"/>
        <w:shd w:val="clear" w:color="auto" w:fill="auto"/>
        <w:bidi w:val="0"/>
        <w:spacing w:before="0" w:after="390" w:line="240" w:lineRule="auto"/>
        <w:ind w:left="0" w:right="0" w:firstLine="820"/>
        <w:jc w:val="left"/>
      </w:pPr>
      <w:r>
        <w:drawing>
          <wp:anchor distT="0" distB="0" distL="114300" distR="1921510" simplePos="0" relativeHeight="125829387" behindDoc="0" locked="0" layoutInCell="1" allowOverlap="1">
            <wp:simplePos x="0" y="0"/>
            <wp:positionH relativeFrom="page">
              <wp:posOffset>3126105</wp:posOffset>
            </wp:positionH>
            <wp:positionV relativeFrom="paragraph">
              <wp:posOffset>76200</wp:posOffset>
            </wp:positionV>
            <wp:extent cx="311150" cy="3657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3519170</wp:posOffset>
                </wp:positionH>
                <wp:positionV relativeFrom="paragraph">
                  <wp:posOffset>149225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10000000000002pt;margin-top:11.75pt;width:135.84999999999999pt;height:20.150000000000002pt;z-index:25165773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Мартьянова Елена Дмитриевна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0092302А1Е2Е82694604ЕЕЕ772202557ЕЕ</w:t>
      </w:r>
    </w:p>
    <w:p>
      <w:pPr>
        <w:pStyle w:val="Style21"/>
        <w:keepNext w:val="0"/>
        <w:keepLines w:val="0"/>
        <w:widowControl w:val="0"/>
        <w:shd w:val="clear" w:color="auto" w:fill="auto"/>
        <w:bidi w:val="0"/>
        <w:spacing w:before="0" w:after="104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10107295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2023-60967</w:t>
                          </w:r>
                        </w:p>
                      </w:txbxContent>
                    </wps:txbx>
                    <wps:bodyPr wrap="none" lIns="0" tIns="0" rIns="0" bIns="0">
                      <a:spAutoFit/>
                    </wps:bodyPr>
                  </wps:wsp>
                </a:graphicData>
              </a:graphic>
            </wp:anchor>
          </w:drawing>
        </mc:Choice>
        <mc:Fallback>
          <w:pict>
            <v:shape id="_x0000_s1033" type="#_x0000_t202" style="position:absolute;margin-left:57.149999999999999pt;margin-top:795.8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10114915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2023-60967</w:t>
                          </w:r>
                        </w:p>
                      </w:txbxContent>
                    </wps:txbx>
                    <wps:bodyPr wrap="none" lIns="0" tIns="0" rIns="0" bIns="0">
                      <a:spAutoFit/>
                    </wps:bodyPr>
                  </wps:wsp>
                </a:graphicData>
              </a:graphic>
            </wp:anchor>
          </w:drawing>
        </mc:Choice>
        <mc:Fallback>
          <w:pict>
            <v:shape id="_x0000_s1035" type="#_x0000_t202" style="position:absolute;margin-left:56.800000000000004pt;margin-top:796.45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2023-60967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490855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94999999999999pt;margin-top:38.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Georgia" w:eastAsia="Georgia" w:hAnsi="Georgia" w:cs="Georgia"/>
      <w:b w:val="0"/>
      <w:bCs w:val="0"/>
      <w:i w:val="0"/>
      <w:iCs w:val="0"/>
      <w:smallCaps w:val="0"/>
      <w:strike w:val="0"/>
      <w:color w:val="222222"/>
      <w:sz w:val="11"/>
      <w:szCs w:val="11"/>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84848"/>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Основной текст (2)"/>
    <w:basedOn w:val="Normal"/>
    <w:link w:val="CharStyle22"/>
    <w:pPr>
      <w:widowControl w:val="0"/>
      <w:shd w:val="clear" w:color="auto" w:fill="auto"/>
      <w:ind w:left="3820"/>
    </w:pPr>
    <w:rPr>
      <w:rFonts w:ascii="Arial" w:eastAsia="Arial" w:hAnsi="Arial" w:cs="Arial"/>
      <w:b w:val="0"/>
      <w:bCs w:val="0"/>
      <w:i w:val="0"/>
      <w:iCs w:val="0"/>
      <w:smallCaps w:val="0"/>
      <w:strike w:val="0"/>
      <w:color w:val="484848"/>
      <w:sz w:val="12"/>
      <w:szCs w:val="12"/>
      <w:u w:val="none"/>
    </w:rPr>
  </w:style>
  <w:style w:type="paragraph" w:customStyle="1" w:styleId="Style28">
    <w:name w:val="Основной текст (4)"/>
    <w:basedOn w:val="Normal"/>
    <w:link w:val="CharStyle29"/>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