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774" w:h="422" w:wrap="none" w:hAnchor="page" w:x="2195" w:y="1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framePr w:w="2774" w:h="422" w:wrap="none" w:hAnchor="page" w:x="2195" w:y="11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5"/>
        <w:keepNext w:val="0"/>
        <w:keepLines w:val="0"/>
        <w:framePr w:w="3408" w:h="686" w:wrap="none" w:hAnchor="page" w:x="1888" w:y="167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 гимонопольной службы</w:t>
        <w:br/>
        <w:t>по Тверской области</w:t>
      </w:r>
    </w:p>
    <w:p>
      <w:pPr>
        <w:pStyle w:val="Style2"/>
        <w:keepNext w:val="0"/>
        <w:keepLines w:val="0"/>
        <w:framePr w:w="2390" w:h="677" w:wrap="none" w:hAnchor="page" w:x="2382" w:y="2526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Советская, 23. г. Тверь, 170100</w:t>
        <w:br/>
        <w:t>тел. (4822) 32-08-32</w:t>
        <w:br/>
        <w:t>е-тпаП: 1о69(3)Га5.§оу.ти</w:t>
      </w:r>
    </w:p>
    <w:p>
      <w:pPr>
        <w:pStyle w:val="Style5"/>
        <w:keepNext w:val="0"/>
        <w:keepLines w:val="0"/>
        <w:framePr w:w="3912" w:h="288" w:wrap="none" w:hAnchor="page" w:x="1595" w:y="3942"/>
        <w:widowControl w:val="0"/>
        <w:shd w:val="clear" w:color="auto" w:fill="auto"/>
        <w:bidi w:val="0"/>
        <w:spacing w:before="8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5"/>
        <w:keepNext w:val="0"/>
        <w:keepLines w:val="0"/>
        <w:framePr w:w="2645" w:h="307" w:wrap="none" w:hAnchor="page" w:x="1585" w:y="47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I Решение 069/06/106-1161/2023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Тверской области «Тверской областной клинический онкологический диспансер»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Уа1еп1та4986@уапс1ех.ги, опкосЙ8рап8ег-1уег@уап(1ех.ги (э)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государственного заказа Тверской области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кот_§о8хака2а@1уегге§.ги (э)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Белов Николай Александрович е-тай: Ъе1оу@йет1аЪ.ги (э)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8"/>
        <w:keepNext w:val="0"/>
        <w:keepLines w:val="0"/>
        <w:framePr w:w="4579" w:h="5342" w:wrap="none" w:hAnchor="page" w:x="6654" w:y="889"/>
        <w:widowControl w:val="0"/>
        <w:shd w:val="clear" w:color="auto" w:fill="auto"/>
        <w:bidi w:val="0"/>
        <w:spacing w:before="0" w:after="260" w:line="254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е-шай: ко@г18-1епс1ег.ги (э)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2024380</wp:posOffset>
            </wp:positionH>
            <wp:positionV relativeFrom="margin">
              <wp:posOffset>0</wp:posOffset>
            </wp:positionV>
            <wp:extent cx="511810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591" w:right="433" w:bottom="1523" w:left="1575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069/06/106-1161/2023 о рассмотрении жалобы на нарушение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оглашена «13» декабря 2023 г.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«18» декабря 2023 г, г. Тверь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Тверской области по контролю в сфере закупок (далее - Комиссия, Тверское УФАС России) в следующем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Мурзин К.И. - руководитель управления,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Винницкая П.Д. - главный специалист-эксперт отдела контроля закупок,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Быков К.О. - ведущий специалист-эксперт отдела контроля закупок,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видеооконференц-связи: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Государственного бюджетного учреждения здравоохранения Тверской области «Тверской областной клинический онкологический диспансер» (далее - Заказчик): Тазовой О.Е. (по доверенности);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представителя Комитета государственного заказа Тверской области (далее - Уполномоченный орган): Заикиной Н.М. (по доверенности);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Белова Н.А. (далее - Заявитель),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системы видеооконференц-связи, в соответствии с пунктом 2 постановления Правительства Российской Федерации от 26.08,2013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пунктами 6,1.9, 7.7-7.8 Положения о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bookmarkStart w:id="0" w:name="bookmark0"/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ИНН 111111111111111111</w:t>
      </w:r>
      <w:bookmarkEnd w:id="0"/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 </w:t>
      </w:r>
      <w:r>
        <w:rPr>
          <w:rStyle w:val="CharStyle9"/>
        </w:rPr>
        <w:t>территориальном органе Федеральной антимонопольной службы, утвержденного приказом ФАС России от 23.07.2015 № 649/15, статьями 99 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жалобу Заявителя и проведя внеплановую проверку,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Тверское УФАС России 07.12.2023 поступила жалоба Заявителя на действия Заказчика при проведении электронного аукциона на поставку медицинских изделий (реагенты) (извещение от 29.11.2023 № 0136500001123007531 на официальном сайте Единой информационной системы в сфере закупок - у/у/\у.2акирк1.§оу.ги) (далее -Аукцион).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жалобы, в описании объекта закупки установлены требования о соответствии закупаемых товаров классу потенциального риска применения: «не выше первого». Под указанные Заказчиком требования подходят только реагенты, производителем которых является Яйюп КоЫеп, что не дает возможности поставить реагенты другого производителя. Однако на территории Российской Федерации в установленном порядке зарегистрированы и производятся реагенты для анализаторов МЕК 8222К, МЕК 7222К компании ООО «Триалаб». Включение в описание объекта закупки требований о соответствии медицинских изделий определенному классу потенциального риска применения противоречит разъяснениям, изложенным в письме ФАС России от 16.05.2023 № ТН/37551/23. Кроме того, Заказчиком ограничена взаимозаменяемость медицинских изделий.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4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Заказчика, Уполномоченного органа с доводами жалобы не согласились, представлены письменные пояснения.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изучения представленных документов и пояснений, рассмотрения доводов жалобы, Комиссия установила следующее.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Аукциона, составленным при осуществлении закупки: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Аукциона размещено на Официальном сайте 29.11.2023;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- 897 262,00 рублей;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61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окончания подачи заявок - 07.12.2023, по окончании срока подачи заявок подана только одна заявка на участие в закупке. Заявка не соответствует требованиям.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33 Закона о контрактной системе заказчик при описании объекта закупки указывает функциональные, технические и качественные характеристики, эксплуатационные характеристики объекта закупки (при необходимости). При этом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установление в извещении об осуществлении закупки, документации о закупке (в случае, если Законом о контрактной системе предусмотрена документация о закупке) требований к поставляемым товарам, совокупности характеристик, которым соответствует продукция определенного производителя, не соответствует Закону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4 статьи 38 Федерального закона от 21.11.2011 № 323-ФЗ «Об основах охраны здоровья граждан в Российской Федерации» (далее - Закон об охране здоровья граждан) на территории Российской Федерации разрешается обращение медицинских изделий, прошедших государственную регистрацию в порядке, установленном Правительством Российской Федерации, и медицинских изделий, прошедших регистрацию в соответствии с международными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договорами и актами, составляющими право Евразийского экономического союза (далее - Союз).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 статьи 38 Закона об охране здоровья граждан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изделий. При этом Номенклатурная классификация медицинских изделий по классам в зависимости от потенциального риска их применения в рамках национального законодательства утверждена приказом Минздрава России от 06.06.2012 № 4н (вступил в силу с 04.11.2012; далее - Номенклатурная классификация по классам), а Правила классификации медицинских изделий в зависимости от потенциального риска применения в рамках законодательства Союза утверждены решением Коллегии Евразийской экономической комиссии от 22.12.2015 № 173 (вступило в силу с 26.04.2017).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примере и национального, и союзного законодательства, действующего на территории Российской Федерации, можно увидеть, что в международной практике существуют различные подходы к классификации медицинских изделий по классам потенциального риска применения. Вместе с тем принцип разделения медицинских изделий на классы потенциального риска применения является неотъемлемой частью любой регуляторной системы, так как именно данный принцип позволяет внедрить риск-ориентированный подход как при регистрации медицинского изделия (примером может служить перечень документов, необходимых для регистрации медицинского изделия, представленный в приложении № 4 к Правилам регистрации и экспертизы безопасности, качества и эффективности медицинских изделий, утвержденным решением Совета Евразийской экономической комиссии от 12.02.2016 № 46, или наличие упрощенных процедур государственной регистрации), так и при его последующем обращении (например, необходимость представления отчетов о клиническом мониторинге в регистрирующий орган).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этим указание в отношении медицинского изделия класса потенциального риска применения и его подтверждение в ходе проведения экспертизы является обязательной частью процедуры регистрации.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1 статьи 38 Закона об охране здоровья граждан медицинские изделия могут признаваться взаимозаменяемыми, если они сравнимы по функциональному назначению, качественным и техническим характеристикам и способны заменить друг друга. При этом в соответствии с законодательством Союза при доказательстве эквивалентности медицинских изделий используются следующие условия (пункт 6 Правил проведения клинических и клинико</w:t>
        <w:softHyphen/>
        <w:t>лабораторных испытаний (исследований) медицинских изделий, утвержденных решением Совета Евразийской экономической комиссии от 12.02.2016 № 29):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8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рассматриваемые медицинские изделия имеют одинаковое назначение;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9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технические и биологические характеристики рассматриваемых медицинских изделий одинаковы в той степени, которая гарантирует отсутствие различий в их клинической эффективности и безопасности.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класс потенциального риска применения не поименован в качестве характеристики, на основе анализа которой изделия могут быть признаны взаимозаменяемыми (эквивалентными). Вне зависимости от класса риска, присвоенного медицинским изделиям, прошедшим процедуру регистрации в установленном порядке, выданные регистрационные удостоверения подтверждают факт регистрации, что, в свою очередь, свидетельствует о качестве, эффективности и безопасности указанных изделий.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Класс потенциального риска медицинского изделия не является терапевтически или диагностически значимой характеристикой, а включение в описание объекта закупки требований о соответствии медицинских изделий определенному классу потенциального риска применения может привести к сокращению количества участников закупки и не соответствует Закону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Указанная позиция доведена письмом ФАС России от 16.05.2023 № ТН/37551/23 «О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формировании документации о закупке медицинских изделий»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Описанием объекта закупки установлены в том числе требования к классу потенциального риска применения не выше первого, также установлены обязательные характеристики «Для автоматических гематологических анализаторов серии МЕК», «Для анализаторов серии МЕК».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на заседании Комиссии пояснил, что реагенты закупаются для гематологического анализатора: МЕК 6510 К Серийный номер 08494. При описании потребности Заказчик руководствовался данными руководства пользователя к автоматическому гематологическому анализатору МЕК - 6510 К во избежание закупки некачественных реагентов, которые в дальнейшем могли бы привести к поломке анализатора и остановке диагностического процесса. Автоматические гематологические анализаторы серии МЕК (а именно: МЕК 65ЮК; МЕК 7300) согласно руководствам пользователя имеют ограничения в использовании реагентов сторонних производителей.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подтверждение представлен перечень анализаторов, эксплуатируемых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фактическая потребность заказчика — приобретение реагентов для гематологического анализатора МЕК 6510 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письма Федеральной службы по надзору в сфере здравоохранения от 5 февраля 2016 г. И 09-С-571-1414 и решения Верховного Суда РФ от 16.08.2021 И АКПИ21-444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оборудования, что впоследствии подтверждается выданным Росздравнадзором регистрационным удостоверением.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случае, инструкцией по эксплуатации анализатора МЕК 6510 К предусмотрено, что для его корректной эксплуатации необходимо применение исключительно реагентов, выпущенных производителем анализатора.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Доказательства регистрации реагентов, содержащих сведения о возможности их применения с анализатором МЕК 6510 К, Комиссии не представлены.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изложенного, Заказчик имел право установить требования к товарам таким образом, чтобы им соответствовал товар применение которого допускается производителем.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тоже время, согласно подпункту «б» пункта 1 части 1 статьи 33 Закона о контрактной системе допускается использование в описании объекта закупки указания на товарный знак в случае несовместимости товаров, на которых размещаются другие товарные знаки, и необходимость обеспечения взаимодействия таких товаров с товарами, используемыми заказчиком.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в описании объекта закупки не указано для какого именно анализатора проводится закупка реагентов, что вводит в заблуждение потенциальных участников закупки, кроме того, включено в описание объекта закупки требования о соответствии медицинских изделий определенному классу потенциального риска, что не соответствует пункту 1 части 2 статьи 42 Закона о контрактной системе и содержит признаки административного правонарушения, ответственность за совершение которого предусмотрена частью 1.4 статьи 7.30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4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принимая во внимание обстоятельства дела и то, что допущенные нарушения не повлияли на результаты определения поставщика (подрядчика, исполнителя) и, признавая наличие потребности Заказчика в закупке реагентов именно к автоматическому гематологическому анализатору МЕК - 6510, не усматривает оснований для выдачи предписания об устранении допущенных нарушений.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r>
        <w:br w:type="page"/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Белова Н.А. 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пункта 1 части 2 статьи 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выявленных нарушений Закона о контрактной системе не выдавать.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28" w:val="left"/>
        </w:tabs>
        <w:bidi w:val="0"/>
        <w:spacing w:before="0" w:after="26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соответствующему должностному лицу для рассмотрения вопроса о возбуждении дела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80" w:line="257" w:lineRule="auto"/>
        <w:ind w:left="0" w:right="0" w:firstLine="680"/>
        <w:jc w:val="both"/>
      </w:pPr>
      <w:r>
        <w:drawing>
          <wp:anchor distT="0" distB="0" distL="114300" distR="757555" simplePos="0" relativeHeight="125829378" behindDoc="0" locked="0" layoutInCell="1" allowOverlap="1">
            <wp:simplePos x="0" y="0"/>
            <wp:positionH relativeFrom="page">
              <wp:posOffset>4926965</wp:posOffset>
            </wp:positionH>
            <wp:positionV relativeFrom="paragraph">
              <wp:posOffset>647700</wp:posOffset>
            </wp:positionV>
            <wp:extent cx="1505585" cy="1566545"/>
            <wp:wrapSquare wrapText="left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05585" cy="15665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1025525</wp:posOffset>
                </wp:positionV>
                <wp:extent cx="841375" cy="1828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137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К.И. Мурзин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0.90000000000003pt;margin-top:80.75pt;width:66.25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К.И. Мурзин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6027420</wp:posOffset>
                </wp:positionH>
                <wp:positionV relativeFrom="paragraph">
                  <wp:posOffset>1360805</wp:posOffset>
                </wp:positionV>
                <wp:extent cx="1048385" cy="1765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П.Д. Винницкая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4.60000000000002pt;margin-top:107.15000000000001pt;width:82.549999999999997pt;height:13.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П.Д. Винницкая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6335395</wp:posOffset>
                </wp:positionH>
                <wp:positionV relativeFrom="paragraph">
                  <wp:posOffset>1692910</wp:posOffset>
                </wp:positionV>
                <wp:extent cx="734695" cy="17399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К.О. Быков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98.85000000000002pt;margin-top:133.30000000000001pt;width:57.850000000000001pt;height:13.7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К.О. Быков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в течение трех месяцев со дня его изготовления может быть обжаловано в Арбитражный суд Тверской области, находящийся по адресу: 170100 г. Тверь, пл. Святого Благоверного Князя Михаила Тверского, д. 5.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9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Исп.Винницкая П.Д.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тел.8(4822) 34-24-31, вн. 069-113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911" w:right="644" w:bottom="1609" w:left="135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897255</wp:posOffset>
              </wp:positionH>
              <wp:positionV relativeFrom="page">
                <wp:posOffset>9805670</wp:posOffset>
              </wp:positionV>
              <wp:extent cx="692150" cy="1066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215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2023-11375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70.650000000000006pt;margin-top:772.10000000000002pt;width:54.5pt;height:8.4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2023-11375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1033780</wp:posOffset>
              </wp:positionH>
              <wp:positionV relativeFrom="page">
                <wp:posOffset>9662795</wp:posOffset>
              </wp:positionV>
              <wp:extent cx="694690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9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2023-11375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81.400000000000006pt;margin-top:760.85000000000002pt;width:54.700000000000003pt;height:8.15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2023-11375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3970020</wp:posOffset>
              </wp:positionH>
              <wp:positionV relativeFrom="page">
                <wp:posOffset>902335</wp:posOffset>
              </wp:positionV>
              <wp:extent cx="6096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96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12.60000000000002pt;margin-top:71.049999999999997pt;width:4.7999999999999998pt;height:7.90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