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3566160</wp:posOffset>
            </wp:positionH>
            <wp:positionV relativeFrom="margin">
              <wp:posOffset>0</wp:posOffset>
            </wp:positionV>
            <wp:extent cx="768350" cy="8293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8350" cy="8293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91" w:right="817" w:bottom="823" w:left="96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57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0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жалобе № 066/06/106-4506/2023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6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6114415</wp:posOffset>
                </wp:positionH>
                <wp:positionV relativeFrom="paragraph">
                  <wp:posOffset>12700</wp:posOffset>
                </wp:positionV>
                <wp:extent cx="704215" cy="1612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13.12.2023г.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1.44999999999999pt;margin-top:1.pt;width:55.450000000000003pt;height:12.7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13.12.2023г.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96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 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11-30, при участии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МБОУ СОШ № 27 -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в лице ООО «Фабрика вкуса», -*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слушателя в лице *),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заказчиков в лице МБОУ СОШ № 81, МБОУ СОШ № 49, МБОУ СОШ № 95, МБОУ СОШ №, МБОУ СОШ № 107, МБОУ СОШ № 112, МБОУ СОШ № 115, МБВСОУ ЦО №224, уведомленных надлежащим образом о месте и времени рассмотрения жалобы,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2" w:val="left"/>
        </w:tabs>
        <w:bidi w:val="0"/>
        <w:spacing w:before="0" w:after="0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уполномоченного органа в лице Администрации города Екатеринбурга, уведомленного надлежащим образом о месте и времени рассмотрения жалобы,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«Фабрика вкуса» (вх. № 26986-ЭП/23 от 07.12.2023г.) о нарушении заказчиками при осуществлении закупки путем проведения открытого конкурса в электронной форме на оказание услуг по организации горячего питания обучающихся в муниципальных бюджетных общеобразовательных учреждениях Орджоникидзевского района города Екатеринбурга в 2024г. (извещение № 0162300005323002204)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52" w:lineRule="auto"/>
        <w:ind w:left="0" w:right="0" w:firstLine="0"/>
        <w:jc w:val="center"/>
      </w:pPr>
      <w:bookmarkStart w:id="2" w:name="bookmark2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ООО «Фабрика вкуса» (вх. № 26986-ЭП/23 от 07.12.2023г.) о нарушении заказчиками при осуществлении закупки путем проведения открытого конкурса в электронной форме на оказание услуг по организации горячего питания обучающихся в муниципальных бюджетных общеобразовательных учреждениях Орджоникидзевского района города Екатеринбурга в 2024г. (извещение № 0162300005323002204) Закона о контрактной системе, соответствующая требованиям ст.105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170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</w:t>
        <w:tab/>
        <w:t>заказчиком нарушены положения действующего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законодательства при подготовке извещения о проведении закупки, просит признать жалобу 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с доводами жалобы не согласились, просили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Проведя анализ представленных материалов на рассмотрение жалобы, Комиссия пришла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17.11.2023г. на официальном сайте опубликовано извещение № 0162300005323002204 о проведении открытого конкурса в электронной форме на оказание услуг по организации горячего питания обучающихся в муниципальных бюджетных общеобразовательных учреждениях Орджоникидзевского района города Екатеринбурга в 2024г в редакции от 30.11.2023г.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67 611 955,43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Электронный конкурс начинается с размещения в единой информационной системе извещения об осуществлении закупки (ч. 1 ст. 48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5 ч. 2 ст.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числе, проект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Приложением № 4 к техническому заданию, размещенному в составе проекта договора, предусмотрено, что: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00" w:val="left"/>
          <w:tab w:leader="underscore" w:pos="5779" w:val="left"/>
          <w:tab w:pos="6096" w:val="left"/>
        </w:tabs>
        <w:bidi w:val="0"/>
        <w:spacing w:before="0" w:after="2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Арендатор обязуется возместить Арендодателю стоимость эксплуатационных расходов по содержанию и эксплуатации имущества, используемого им при оказании услуг по организации питания в помещениях пищеблока общей площадью </w:t>
        <w:tab/>
        <w:tab/>
        <w:t>кв. м., в зданиях по адресу: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pBdr>
          <w:top w:val="single" w:sz="4" w:space="0" w:color="auto"/>
        </w:pBdr>
        <w:shd w:val="clear" w:color="auto" w:fill="auto"/>
        <w:tabs>
          <w:tab w:pos="188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эксплуатационные расходы входят: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обслуживание системы пожарной сигнализации,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обслуживание системы вентиляции;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обслуживание тревожной кнопки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комплексное обслуживание ИТП и УКУТ;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обслуживание систем видеонаблюдения;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техническое обслуживание АПК;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дератизация;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вызов группы быстрого реагирования;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амортизационные отчисления на модернизацию кухонного оборудования.</w:t>
      </w:r>
    </w:p>
    <w:p>
      <w:pPr>
        <w:pStyle w:val="Style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20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Арендатор возмещает стоимость эксплуатационных расходов по содержанию и эксплуатации имущества, исходя из отношения арендуемой площади к общей площади здания, строения, сооружения, а в части амортизационных отчислений на модернизацию кухонного оборудования в размере 2% от начальной стоимости оборудования, переданного в аренду в год.</w:t>
      </w:r>
    </w:p>
    <w:p>
      <w:pPr>
        <w:pStyle w:val="Style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200" w:val="left"/>
          <w:tab w:pos="1883" w:val="left"/>
          <w:tab w:pos="4421" w:val="left"/>
          <w:tab w:pos="609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Стоимость эксплуатационных расходов по содержанию и эксплуатации имущества, возмещаемых Арендатором по</w:t>
        <w:tab/>
        <w:t>настоящему Договору,</w:t>
        <w:tab/>
        <w:t>указывается в</w:t>
        <w:tab/>
        <w:t>Расчете (ориентировочном) стоимости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83" w:val="left"/>
          <w:tab w:pos="3216" w:val="left"/>
          <w:tab w:pos="4497" w:val="left"/>
          <w:tab w:pos="6144" w:val="left"/>
          <w:tab w:pos="900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эксплуатационных</w:t>
        <w:tab/>
        <w:t>расходов по</w:t>
        <w:tab/>
        <w:t>содержанию</w:t>
        <w:tab/>
        <w:t>и эксплуатации</w:t>
        <w:tab/>
        <w:t>имущества (Приложение №</w:t>
        <w:tab/>
        <w:t>1), которое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прилагается к настоящему Договору и является его неотъемлемой частью.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16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Приложением № 1 к Приложению № 4 к техническому заданию, размещенному в составе проекта договора, установлен расчет (ориентировочный) стоимости эксплуатационных расходов по содержанию и эксплуатации имущества в МБОУ СОШ № 27:</w:t>
      </w:r>
    </w:p>
    <w:tbl>
      <w:tblPr>
        <w:tblOverlap w:val="never"/>
        <w:jc w:val="left"/>
        <w:tblLayout w:type="fixed"/>
      </w:tblPr>
      <w:tblGrid>
        <w:gridCol w:w="4488"/>
        <w:gridCol w:w="1469"/>
      </w:tblGrid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Общая площать здания, кв.м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5 753,20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Арендуемая площадь, кв.м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148,60</w:t>
            </w:r>
          </w:p>
        </w:tc>
      </w:tr>
      <w:tr>
        <w:trPr>
          <w:trHeight w:val="6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Отношение арендуемой площади к общей площади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0,03</w:t>
            </w:r>
          </w:p>
        </w:tc>
      </w:tr>
      <w:tr>
        <w:trPr>
          <w:trHeight w:val="6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Балансовая стоимость движимого имущества, руб.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1 077 941,49</w:t>
            </w:r>
          </w:p>
        </w:tc>
      </w:tr>
      <w:tr>
        <w:trPr>
          <w:trHeight w:val="96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Амортизационные отчисления на модернизацию кухонного оборудования в размере 2%, руб.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21 558,83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488"/>
        <w:gridCol w:w="1459"/>
        <w:gridCol w:w="1757"/>
        <w:gridCol w:w="941"/>
        <w:gridCol w:w="1330"/>
      </w:tblGrid>
      <w:tr>
        <w:trPr>
          <w:trHeight w:val="19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стоимость в месяц по договору с поставщиком услуги, руб.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сумма в месяц, руб.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кол-во месяцев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итого в год, руб.</w:t>
            </w:r>
          </w:p>
        </w:tc>
      </w:tr>
      <w:tr>
        <w:trPr>
          <w:trHeight w:val="6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обслуживание системы пожарной сигнализации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1 097,87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32,94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263,49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обслуживание системы вентиляции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2 737,78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82,13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657,07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обслуживание тревожной кнопки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676,07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20,28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162,26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обслуживание теплоносителей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4 365,00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130,95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1 047,60</w:t>
            </w:r>
          </w:p>
        </w:tc>
      </w:tr>
      <w:tr>
        <w:trPr>
          <w:trHeight w:val="6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амортизационные отчисления на модернизацию оборудования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1 796,57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14 372,55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Всего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2 062,87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16 502,97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tabs>
          <w:tab w:pos="6634" w:val="left"/>
          <w:tab w:pos="8118" w:val="left"/>
          <w:tab w:pos="900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представители заказчика</w:t>
        <w:tab/>
        <w:t>пояснили,</w:t>
        <w:tab/>
        <w:t>что</w:t>
        <w:tab/>
        <w:t>возмещение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амортизационных отчислений кухонного оборудования производится не в целях возмещения налогов, а с целью модернизации кухонного оборудования (поддержания оборудования в рабочем состоянии, покупки нового). В соответствии с приказами Минфина России от 16.12.2010 № 174н «Об утверждении Плана счетов бухгалтерского учета бюджетных учреждений и Инструкции по его применению»,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у муниципальных учреждений есть обязанность начислять амортизацию (производить расчет годовой суммы амортизации при осуществлении учета используемого объекта исходя из его балансовой стоимости и нормы амортизации, исчисленной исходя из срока его полезного использования). Кухонное оборудование используется исключительно организацией, оказывающей услуги питания в общеобразовательных организациях. Таким образом, организация использует имущество общеобразовательной организации в целях ведения своей предпринимательской деятельности. В процессе использования происходит износ оборудования.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со ст. 209 Гражданского кодекса Российской Федерации (далее - ГК РФ) собственнику принадлежат права владения, пользования и распоряжения своим имуществом. Собственник вправе по своему усмотрению совершать в отношении принадлежащего ему имущества любые действия, не противоречащие закону и иным правовым актам и не нарушающие права и охраняемые законом интересы других лиц, в том числе отчуждать свое имущество в собственность другим лицам, передавать им, оставаясь собственником, права владения, пользования и распоряжения имуществом, отдавать имущество в залог и обременять его другими способами, распоряжаться им иным образом.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ст. 606 ГК РФ по договору аренды (имущественного найма) арендодатель (наймодатель) обязуется предоставить арендатору (нанимателю) имущество за плату во временное владение и пользование или во временное пользование.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ст. 611 ГК РФ арендодатель обязан предоставить арендатору имущество в состоянии, соответствующем условиям договора аренды и назначению имущества.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ст.616 ГК РФ арендатор обязан поддерживать имущество в исправном состоянии, производить за свой счет текущий ремонт и нести расходы на содержание имущества.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ст. 614 ГК РФ арендатор обязан своевременно вносить плату за пользование имуществом (арендную плату).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Порядок, условия и сроки внесения арендной платы определяются договором аренды.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Арендная плата устанавливается за все арендуемое имущество в целом или отдельно по каждой из его составных частей в виде: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определенных в твердой денежной сумме платежей, вносимых периодически или единовременно;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установленной доли полученных в результате использования арендованного имущества продукции, плодов и доходов;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предоставления арендатором определенных услуг;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передачи арендатором арендодателю обусловленной договором вещи в собственность или в аренду;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возложения на арендатора обусловленных договором затрат на улучшение арендованного имущества.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Стороны могут предусматривать в договоре аренды сочетание указанных форм арендной платы или иные формы оплаты труда.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654 ГК РФ установленная в договоре аренды здания или сооружения плата за пользование зданием или сооружением включает плату за пользование земельным участком, на котором оно расположено, или передаваемой вместе с ним соответствующей частью участка, если иное не предусмотрено законом или договором.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арендную плату могут включаться, в том числе, размеры годовых амортизационных отчислений (ремонт).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ст. 421 ГК РФ граждане и юридические лица свободны в заключении договора. Свобода договора, в том числе, включает в себя свободу сторон в определении условий договора, кроме случаев, когда содержание соответствующего условия предписано законом или иными правовыми актами (п. 4 ст. 421 ГК РФ).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условия договора аренды согласованы собственником имущества, Департаментом по управлению муниципальным имуществом (исх. № 02.05-13/2/002/7351 от 30.11.2023г.).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предусматривающее включение в состав арендных платежей расходы на амортизацию условие договора аренды определено по усмотрению заказчика и не противоречит нормам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Комиссии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79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9.2 приложения №</w:t>
        <w:tab/>
        <w:t>3 к проекту контракта установлено, что внесение арендной платы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 пользование движимым имуществом за период оказания услуг, согласно Расчету стоимости арендной платы в соответствии с Постановлением Главы Екатеринбурга от 01 июля 2011 г. № 2774 (Приложение № 2 к Договору аренды) производится путем перечисления денежных средств на расчетный счет Заказчика ежемесячно авансом до десятого числа месяца, предшествующего расчетному на основании заключенных договоров аренды.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Комиссией установлено, что расчет стоимости арендной платы за пользование движимым имуществом осуществлен заказчиком в соответствии с Решением Екатеринбургской городской Думы от 05.06.2012 № 25/60 «Об утверждении Положения "Об особенностях передачи в аренду имущества, закрепленного за автономными, бюджетными и казенными муниципальными учреждениями на праве оперативного управления».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этой связи Комиссия приходит к выводу о наличии в действиях заказчиков нарушения требований ч. 3 ст. 7 Закона о контрактной системе, что образует признаки события административного правонарушения, предусмотренного ч. 1.4 ст. 7.30 КоАП РФ.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41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довод заявителя о необоснованном неприменении заказчиком положений Постановления Администрации г. Екатеринбурга от 01.07.2011 № 2774 «Об установлении корректировочного коэффициента для определения суммы арендной платы за пользование муниципальным движимым имуществом, закрепленным за муниципальными бюджетными учреждениями на праве оперативного управления» (далее - Постановление Администрации г. Екатеринбурга №</w:t>
        <w:tab/>
        <w:t>2774) в части применения корректировочного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коэффициента для определения суммы арендной платы за пользование муниципальным движимым имуществом в размере 0,01, Комиссия находит несостоятельным, так как положения Постановления Администрации г. Екатеринбурга № 2774 применяются только при расчете арендной платы по договорам аренды движимого имущества, заключенным без проведения торгов, арендодателями имущества по которым являются муниципальные бюджетные учреждения в соответствии с Решением Екатеринбургской городской Думы от 11.03.2008 № 20/55 «Об утверждении Положения "Об особенностях передачи в аренду имущества, закрепленного за муниципальными бюджетными учреждениями на праве оперативного управления» (п. 3 Постановления Администрации г. Екатеринбурга № 2774), в то время как заказчиком расчет произведен в соответствии с Решением Екатеринбургской городской Думы от 05.06.2012 № 25/60 «Об утверждении Положения "Об особенностях передачи в аренду имущества, закрепленного за автономными, бюджетными и казенными муниципальными учреждениями на праве оперативного управления».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Комиссия отмечает, что что согласно ч. 5 ст. 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заявителем в лице ООО «Фабрика вкуса» подана заявка на участие в рассматриваемой закупке, заявка признана соответствующей требованиям извещения.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заявитель конклюдентно согласился (п. 1 ст. 8 ГК РФ) на все условия извещения в момент подачи им заявки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Помимо прочего, согласно ч. 2 ст. 105 Закона о контрактной системе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 следующих особенностей: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отмечает, что ранее (29.11.2023г.) ООО «Фабрика вкуса» была подана жалоба на указанную закупку, рассмотрение которой состоялось 05.12.2023г.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30.11.2023г. заказчиком внесены изменения в извещение, рассматриваемая жалоба ООО «Фабрика вкуса» технически подана на новую редакцию извещения, при этом ООО «Фабрика вкуса» фактически обжалуются положения извещения, в которые 30.11.2023г. изменения заказчиком не вносились.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статьей 99, частью 8 статьи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5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62" w:val="left"/>
        </w:tabs>
        <w:bidi w:val="0"/>
        <w:spacing w:before="0" w:after="0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ООО «Фабрика вкуса» признать обоснованной в части.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96" w:val="left"/>
        </w:tabs>
        <w:bidi w:val="0"/>
        <w:spacing w:before="0" w:after="0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заказчиков в лице МБОУ СОШ № 27, МБОУ СОШ № 81, МБОУ СОШ № 49, МБОУ СОШ № 95, МБОУ СОШ № 98, МБОУ СОШ № 107, МБОУ СОШ № 112, МБОУ СОШ № 115, МБВСОУ ЦО №224 выявлены нарушения ч. 3 ст. 7 Закона о контрактной системе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91" w:val="left"/>
        </w:tabs>
        <w:bidi w:val="0"/>
        <w:spacing w:before="0" w:after="0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уполномоченного органа в лице Администрации города Екатеринбурга, закупочной комиссии нарушений Закона о контрактной системе не выявлено.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91" w:val="left"/>
        </w:tabs>
        <w:bidi w:val="0"/>
        <w:spacing w:before="0" w:after="0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 в лице МБОУ СОШ № 27, МБОУ СОШ № 81, МБОУ СОШ № 49, МБОУ СОШ № 95, МБОУ СОШ № 98, МБОУ СОШ № 107, МБОУ СОШ № 112, МБОУ СОШ № 115, МБВСОУ ЦО №224, оператору электронной торговой площадки выдать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91" w:val="left"/>
          <w:tab w:pos="6550" w:val="left"/>
        </w:tabs>
        <w:bidi w:val="0"/>
        <w:spacing w:before="0" w:after="0"/>
        <w:ind w:left="30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Обязать заказчиков обеспечить явку должностного лица, подготовившего и разместившего извещение в единой информационной системе по закупке №</w:t>
        <w:tab/>
        <w:t>0162300005323002204, с документами,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810" w:val="left"/>
          <w:tab w:pos="5909" w:val="left"/>
          <w:tab w:leader="underscore" w:pos="7126" w:val="left"/>
          <w:tab w:leader="underscore" w:pos="7807" w:val="left"/>
          <w:tab w:leader="underscore" w:pos="8993" w:val="left"/>
        </w:tabs>
        <w:bidi w:val="0"/>
        <w:spacing w:before="0" w:after="240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марта,5/Химиков, 3, 4 этаж с объяснением по факту выявленного нарушения </w:t>
        <w:tab/>
        <w:tab/>
        <w:tab/>
        <w:t>20</w:t>
        <w:tab/>
        <w:t xml:space="preserve">г. в </w:t>
        <w:tab/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5" w:right="763" w:bottom="1076" w:left="87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1959610</wp:posOffset>
            </wp:positionH>
            <wp:positionV relativeFrom="paragraph">
              <wp:posOffset>12700</wp:posOffset>
            </wp:positionV>
            <wp:extent cx="768350" cy="83502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68350" cy="8350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жалобе № 066/06/106-4506/2023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tabs>
          <w:tab w:pos="8592" w:val="left"/>
        </w:tabs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  <w:tab/>
        <w:t>13.12.2023 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 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№ 066/06/106-4506/2023 от 13.12.2023г., руководствуясь п. 2 ч. 22 ст. 99 Закона о контрактной системе,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Заказчикам в лице МБОУ СОШ № 27, МБОУ СОШ № 81, МБОУ СОШ № 49, МБОУ СОШ № 95, МБОУ СОШ № 98, МБОУ СОШ № 107, МБОУ СОШ № 112, МБОУ СОШ № 115, МБВСОУ ЦО №224 в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 до 27.12.2023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нарушения Закона о контрактной системе, допущенные при проведении открытого конкурса в электронной форме № 0162300005323002204, путем направления победителю закупки проекта контракта с внесенными изменениями в части установленных решением № 066/06/42-4506/2023 от 13.12.2023г. нарушений, и с учетом требований Закона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Оператору электронной торговой площадки обеспечить исполнение п. 1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Заказчикам в лице МБОУ СОШ № 27, МБОУ СОШ № 81, МБОУ СОШ № 49, МБОУ СОШ № 95, МБОУ СОШ № 98, МБОУ СОШ № 107, МБОУ СОШ № 112, МБОУ СОШ № 115, МБВСОУ ЦО №224в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 до 12.01.2024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</w:t>
        <w:softHyphen/>
        <w:t>84 или на адрес электронной почты:</w:t>
      </w:r>
      <w:r>
        <w:fldChar w:fldCharType="begin"/>
      </w:r>
      <w:r>
        <w:rPr/>
        <w:instrText> HYPERLINK "mailto:to66@fas.gov.ru"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1обб@а8.доу.ги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pgSz w:w="11900" w:h="16840"/>
      <w:pgMar w:top="946" w:right="817" w:bottom="946" w:left="109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3829050</wp:posOffset>
              </wp:positionH>
              <wp:positionV relativeFrom="page">
                <wp:posOffset>485140</wp:posOffset>
              </wp:positionV>
              <wp:extent cx="54610" cy="882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1.5pt;margin-top:38.200000000000003pt;width:4.2999999999999998pt;height:6.95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3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Заголовок №1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Друго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Заголовок №1"/>
    <w:basedOn w:val="Normal"/>
    <w:link w:val="CharStyle5"/>
    <w:pPr>
      <w:widowControl w:val="0"/>
      <w:shd w:val="clear" w:color="auto" w:fill="auto"/>
      <w:spacing w:after="240" w:line="245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Другое"/>
    <w:basedOn w:val="Normal"/>
    <w:link w:val="CharStyle11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Кудашкина Елена Викторовна</dc:creator>
  <cp:keywords/>
</cp:coreProperties>
</file>