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54020/23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54020/23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«Всероссийский государственный университет кинематографии им. С. А. Герасимова»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^о^д^@Vд^к.^п1о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«ЧОП «Альфа-Легион+»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О1да.Каx^пкоVа@а1Га1ед^оп.^и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№077/06/106-17829/2023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«ЧОП «Альфа-Легион+»: Антипина А.А. (дов.№б/н от 11.12.2023), ФГБОУ «Всероссийский государственный университет кинематографии им. С. А. Герасимова»: Зайцевой А.Е. (дов.№68-01-415/3 от 06.02.2023), Кошелевой Т.В. (дов.№68-01-1670/3 от 24.08.2022),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«ЧОП «Альфа-Легион+» (далее — Заявитель) на действия ФГБОУ «Всероссийский государственный университет кинематографии им. С. А. Герасимова» (далее — Заказчик) при проведении открытого конкурса в электронной форме на право заключения государственного контракта на оказание услуг охраны, обеспечения внутриобъектового и пропускного режимов в 2024 году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36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58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(Закупка № 0373100057823000082)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представитель Заявителя на заседании Комиссии Управления ходатайствовал от отзыве жалобы, ввиду внесения Заказчиком 11.12.2023 изменений в извещение о проведении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ст.106 Закона о контрактной системе не допускается запрашивать у лица, подавшего жалобу, информацию и документы, которые находятся в распоряжении государственных органов (в том числе органов государственной власти), органов местного самоуправления либо органов, подведомственных государственным органам (в том числе органам государственной власти) или органам местного самоуправления. В таком случае контрольный орган в сфере закупок запрашивает такую информацию и документы самостоятельно. Рассмотрение жалобы по существу должно осуществляться на коллегиальной основе.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день рассмотрения жалобы по существу участник закупки, подавший жалобу, вправе ее отозвать непосредственно при рассмотрении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Жалобу ООО «ЧОП «Альфа-Легион+» оставить без рассмотрения ввиду отзыва жалобы Заявителем в соответствии с ч.4 ст.106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81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9410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00000000000003pt;margin-top:11.pt;width:149.30000000000001pt;height:19.699999999999999pt;z-index:-125829372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3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0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301625</wp:posOffset>
                </wp:positionV>
                <wp:extent cx="1725295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0000000000001pt;margin-top:23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9410" distL="0" distR="0" simplePos="0" relativeHeight="125829384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139700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30000000000001pt;margin-top:11.pt;width:93.100000000000009pt;height:19.699999999999999pt;z-index:-125829369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00Е9СЕАА6СО6САВ20С424А9502ЕС296Е8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44СРО19Э689ЕВ23598ВССВЕ99Е1С6Е2С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40" w:right="0" w:firstLine="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М.О.Мацнева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2023-61318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450000000000003pt;margin-top:794.70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2023-61318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