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1о77@1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?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а8.еоу.п1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50000000000001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1о77@1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?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а8.еоу.п1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«ФХУ Мэрии Москвы»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хакирИШи@то8.ги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«Полимер-Рус»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12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ги8роКт123@дтай 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077/06/106-17648/2023 о нарушении</w:t>
        <w:br/>
        <w:t>законодательства о контрактной системе</w:t>
        <w:br/>
        <w:t>13.12.2023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«ФХУ Мэрии Москвы»: В.И. Новикова (по доверенности № 07-01-09-75/23 от 13.01.2023), Ю.В. Дьячковой (по доверенности № 07-01-09-3572/23 от 22.09.2023),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«Полимер-Рус»: С.А. Стенина (по доверенности № б/н от 16.08.2021), рассмотрев жалобу ООО «Полимер-Рус» (далее — Заявитель) на действия ГБУ «ФХУ Мэрии Москвы» (далее — Заказчик) при проведении открытого конкурса в электронной форме на право заключения государственного контракта на оказание услуг по техническому обслуживанию лифтов (Закупка № 0373200558323000112) (далее — конкурс),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установление Заказчиком неправомерного порядка оценки заявок участников закупки по детализирующему показателю «Общая цена исполненных участником закупки договоров», показателя оценки «Наличие у участников закупки опыта поставки товара, выполнения работы, оказания услуги, связанного с предметом контракта» нестоимостного критерия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 32 Закона о контрактной системе установлено, что для оценки заявок участников закупки заказчик использует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7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информационной картой открытого конкурса оценка заявок производится в соответствии с Постановлением Правительства РФ от 31.12.2021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2023-61199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Постановление №2604).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Абз.1 п.1 Постановления Постановление №2604 утверждено Положение об оценке заявок на участие в закупке товаров, работ, услуг для обеспечения государственных и муниципальных нужд (далее — 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абз.1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«а» п.28 Положения для оценки заявок по показателям оценки, в случае применения показателя оценки, предусмотренного пп.«в» п.24 Положения применяются один или несколько из следующих детализирующих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пп.«в» п.28 Положения порядком рассмотрения и оценки заявок на участие в конкурсе 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согласно извещению об осуществлении закупки Заказчиком в п. 2.1. Порядка оценки заявок по критериям приложение к извещению № 0373200558323000112 установлен показатель: Наличие у участника закупки опыта выполнения работ, связанного с предметом контракта, а именно: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60"/>
        <w:jc w:val="both"/>
        <w:rPr>
          <w:sz w:val="20"/>
          <w:szCs w:val="20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94" w:right="522" w:bottom="722" w:left="108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«Под услугами, связанными с предметом контракта, заключаемого по результатам проведения закупки, понимаются услуги по ремонту, замене, модернизации, техническому обслуживанию подъемно-транспортного оборудования (пассажирских, больничных и грузовых лифтов и подъемников, эскалаторов). Основная функция данного детализирующего критерия оценки заключается в том, чтобы обеспечить Заказчику возможность из общего числа участников выбрать то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2023-61199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лицо, которое будет максимально соответствовать его потребностям в качественном и своевременном выполнении работ, учитывая специфику объекта закупки.»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установлены неправомерные условия сопоставимости представляемых к оценке участниками закупки контрактов (договоров), поскольку предметом государственного контракта является оказание услуг по техническому обслуживанию лифтов, что относится непосредственно к работам по техническому обслуживанию задания.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были нарушены права и законные интересы Заявителя нарушены действиями Заказчика, выразившиеся в установлении узкого перечня видов работ, предусмотренных критерием: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по детализирующему показателю: «Общая цена исполненных участником закупки договоров».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о проведении открытого конкурса в электронной форме от 27.11.2023 №ИИ2 в ред. №3 объектом закупочной процедуры является оказание услуг по техническому обслуживанию лифтов, при этом начальная (максимальная) цена контракта составляет 14 835 300,00 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согласившись с доводами жалобы представитель Заказчика пояснил, что в соответствии с приложением №1 к Постановлению №2604, устанавливается предмет договора,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также пояснил, что основная функция детализирующего критерия оценки: наличие у участника закупки опыта выполнения работ, связанного с предметом контракта, заключается в том, чтобы обеспечить Заказчику возможность из общего числа участников выбрать то лицо, которое будет максимально соответствовать потребностям Заказчика в качественном и своевременном выполнении работ, учитывая специфику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установленная Заказчиком сопоставимость полностью соответствует функционалу Технического задания (Приложение №1 к Извещению Описание объекта закупки), обусловлено соответствующей спецификой технического обслуживания лифтов, а также требованиям п. 24 и п. 28 порядка, утвержденного Положением.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прерогатива определить предмет договора, оцениваемого по детализирующему показателю, содержание такого предмета принадлежит Заказчику.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вышеизложенного, поскольку Заказчик наделен правом самостоятельно раскрыть определение критериев для надлежащего описания порядка оценки с целью выявления лучших условий исполнения контракта, 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Управления отсутствуют правовые основания для признания Заказчика нарушившим нормы действующего законодательства о контрактной системе при установлении в порядке оценки показателя сопоставимого характера, что под аналогичными (сопоставимыми) работами для целей оценки заявок в настоящем конкурсе понимается оказание услуг по техническому обслуживанию лифтов.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Комиссии Управления установлено, что на особую специфику объекта закупки также указывает и нормативная документация отраженная в разделе 7 технического задания, в соответствии с которой необходимо выполнять работы, так, например п.7.7 Постановление Правительства РФ от 23.08.2014 № 848 «Об утверждении Правил проведения технического расследования причин аварий на опасных объектах - лифтах, подъемных платформах для инвалидов, пассажирских конвейерах (движущихся пешеходных дорожках), эскалаторах (за исключением эскалаторов в метрополитенах)», п.7.8 Постановление Правительства РФ от 24.06.2017 № 743 «Об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дорожек), эскалаторов, за исключением эскалаторов в метрополитенах», п.7.11 «Методические указания по проведению технического освидетельствования пассажирских, больничных и грузовых лифтов. РД-10-98-95» и тд.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время, в отсутствие какого-либо обоснования неправомерности действий Заказчика по утверждению спорного порядка оценки, иное видение Заявителем методики оценки не свидетельствует о нарушении Заказчиком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вышеуказанной нормы обязанность доказывания нарушения Заказчиком своих прав и законных интересов лежит на подателе жалобы, однако, на заседании Комиссии Управления, а так же в составе жалобы Заявителем не представлены документы и сведения свидетельствующие об ограничении количества участников закупки, а также о невозможности формирования заявки на участие в данном конкурсе, а также сведений, свидетельствующих о нарушении Заказчиком норм Закона о контрактной системе при установлении оспариваемого порядка оценки заявок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 указанный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«Полимер-Рус» на действия ГБУ «ФХУ Мэрии Москвы»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0" w:val="left"/>
        </w:tabs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115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700000000000003pt;margin-top:10.pt;width:145.70000000000002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3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602615</wp:posOffset>
                </wp:positionV>
                <wp:extent cx="1283335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80000000000001pt;margin-top:47.4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3485515</wp:posOffset>
                </wp:positionH>
                <wp:positionV relativeFrom="paragraph">
                  <wp:posOffset>291465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4.44999999999999pt;margin-top:22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4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127000</wp:posOffset>
                </wp:positionV>
                <wp:extent cx="113411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9.15000000000003pt;margin-top:10.pt;width:89.299999999999997pt;height:19.900000000000002pt;z-index:-125829369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067961 ЕЕ87Е758АЕ5АСО096СЕ0АЕ91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25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10" w:line="240" w:lineRule="auto"/>
        <w:ind w:left="0" w:right="0" w:firstLine="0"/>
        <w:jc w:val="right"/>
      </w:pPr>
      <w:r>
        <w:drawing>
          <wp:anchor distT="0" distB="0" distL="114300" distR="1918970" simplePos="0" relativeHeight="125829386" behindDoc="0" locked="0" layoutInCell="1" allowOverlap="1">
            <wp:simplePos x="0" y="0"/>
            <wp:positionH relativeFrom="page">
              <wp:posOffset>3091815</wp:posOffset>
            </wp:positionH>
            <wp:positionV relativeFrom="paragraph">
              <wp:posOffset>38100</wp:posOffset>
            </wp:positionV>
            <wp:extent cx="311150" cy="3657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3484880</wp:posOffset>
                </wp:positionH>
                <wp:positionV relativeFrom="paragraph">
                  <wp:posOffset>111125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4.40000000000003pt;margin-top:8.7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Кому выдан: Гугава Эдуард Звиадович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6281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Е5АЕВ0О2ОВЕ2АООСЕ65248493Е7С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0"/>
        <w:jc w:val="right"/>
      </w:pPr>
      <w:r>
        <w:drawing>
          <wp:anchor distT="0" distB="0" distL="114300" distR="1918970" simplePos="0" relativeHeight="125829387" behindDoc="0" locked="0" layoutInCell="1" allowOverlap="1">
            <wp:simplePos x="0" y="0"/>
            <wp:positionH relativeFrom="page">
              <wp:posOffset>3091815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3484880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4.40000000000003pt;margin-top:11.5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ВЗВС45854ОЕВ6С993Е00602С0ЕВЕЕС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96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07.09.2023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30.11.2024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10298430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2023-61199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50000000000001pt;margin-top:810.89999999999998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2023-61199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1628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2023-61199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94.70000000000005pt;width:56.3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2023-61199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435610</wp:posOffset>
              </wp:positionV>
              <wp:extent cx="6413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94999999999999pt;margin-top:34.300000000000004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25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spacing w:after="70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7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80"/>
      <w:ind w:left="44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