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54037/23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НИЦ «Курчатовский институт»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окр@пгскЁги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«ПСВ»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8" w:right="1698" w:bottom="621" w:left="1298" w:header="0" w:footer="3" w:gutter="0"/>
          <w:pgNumType w:start="1"/>
          <w:cols w:num="2" w:space="1299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^еп4е^@р8V-8ирр1у.^и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077/06/106-17870/2023 о нарушении</w:t>
        <w:br/>
        <w:t>законодательства о контрактной системе</w:t>
        <w:br/>
        <w:t>13.12.2023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 при участии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НИЦ «Курчатовский институт»: Ю.В. Зиньковской (дов.№77АД3616750 от 14.06.2023),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«ПСВ»: Р.Р. Шарифуллина (дов.№23/12-11 от 11.12.2023),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«ПСВ» (далее — Заявитель) на действия НИЦ «Курчатовский институт» (далее — Заказчик) при проведении электронного аукциона на право заключения государственного контракта на оказание услуг по диагностике, техническому обслуживанию и ремонту автотранспортных средств (ОКПД 2: 45.2 - услуги по техническому обслуживанию и ремонту автотранспортных средств; КТРУ 45.20.20.000-00000002 - услуги по техническому обслуживанию и ремонту прочих автотранспортных средств) (Закупка № 0373100001023000763) (далее - аукцион) в соответствии с Федеральным законом от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9" w:val="left"/>
        </w:tabs>
        <w:bidi w:val="0"/>
        <w:spacing w:before="0" w:after="260" w:line="290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47" w:bottom="526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2023-61455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документация о закупке в соответствии с требованиями, указанными в части 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установлены неправомерные положения Технического задания, а именно в п.2 оговорено: «Место оказания услуг: территория Исполнителя (г. Москва, район Щукино, Северо-западный административный округ)», поскольку такие требования существенно ограничивают количество участников закупочной процедуры, кроме того, в рамках указанного округа отсутствуют СТО, соответствующие всей совокупности установленных требований в составе технической части закупочной документации.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на заседании Комиссии Управления представитель Заказчика указал, что вышеуказанные требования установлены с учетом потребности исследовательского центра в обслуживании имеющихся транспортных средств. При этом указанная область обусловлена экономическими, организационно</w:t>
        <w:softHyphen/>
        <w:t>техническими и временными факторами, а также указана ввиду расположения НИЦ «Курчатовский институт» в районе Щукино.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также отметил, что в указанном районе находится несколько СТО, а именно: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Паитинг-сервис Авиационная ул., 68, корп. 4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Автосервис РгоГ1Вег\'1сеС1иЬ ВМ^ &amp; Мни Авиационная ул., 24, стр. 1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Сокол ул. Панфилова, 16-22с3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Фордекс Волоколамское ш., 26А, стр. 2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14" w:val="left"/>
        </w:tabs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Эталон Большой Волоколамский пр., 3Б, стр. 2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Шаг Живописная ул., 42, стр. 1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Сис-Моторс ул. Максимова, 5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Аванти моторс ул. Берзарина, 26, корп. 1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Автомастер Живописная ул., 46, корп. 3, стр. 1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Д2Сервис Большой Волоколамский пр., 10А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Новатор ул. Берзарина, 34, стр. 34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1)1)СЛК сеть автотехцентров ул. Берзарина, 34, стр. 13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Ис-авто ул. Маршала Бирюзова, 32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СервисПарк .1адиаг 1.апс1 Коуег Авиационная ул., 24, стр. 1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Генелен ул. Академика Бочвара, 2, корп. 2, стр. 1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1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Богема Сервис М Авиационная ул., 24.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обжалуемое Заявителем положение Технического задания не является требованием к участникам закупочной процедуры, а указывает исключительно на требования к исполнителю по контракту, при этом победитель закупочной процедуры также вправе привлечь субподрядную организацию соответствующую установленным требованиям.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 представитель Заявителя указал, что указанные Заказчиком СТО не обслуживают грузовую технику, представленную в составе технической части закупочной документации.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Заявителем не представлено документов и сведений, подтверждающих вышеизложенный довод, при этом Заказчиком получены коммерческие предложения при формировании начальной максимальной цены контракта, что свидетельствует о возможности исполнения обязательств по контракту.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Заявителем не представлено доказательств того обстоятельства, что содержащиеся в закупочной документации требования необоснованно создали одним участникам размещения закупки преимущество перед другими, являются непреодолимыми для некоторых участников размещения закупки, а также каким-либо иным образом повлекли за собой ограничение количества участников размещения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Заявителем не представлено ни одного доказательства того, что у Заказчика объективно отсутствует необходимость в получении именно того комплекса услуг, который указан в закупочной документации. В свою очередь, при наличии у Заказчика потребности в получении определенных товаров, вести речь о необоснованном ограничении им количества потенциальных участников размещения закупки не приходится. Доказательств обратного Заявителем Комиссии Управления не представлено.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69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Кроме того, Комиссия также отмечает, что предъявленные Заказчиком требования к оказанию услуг в равной степени распространялись на всех участников закупки, ввиду чего любое лицо обладало возможностью предложить свои услуги. Каких-либо доказательств невозможности совершения данных действий Заявителем не представлено, ввиду чего у Комиссии отсутствуют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2023-61455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правовые основания считать Заказчика нарушившим требования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составе жалобы Заявитель указывает, что в составе файла «Перечне цен единиц услуг» у ряда товаров отсутствует артикул, что не позволяет подобрать необходимый Заказчику товар.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отсутствие артикулов у ряда позиции обусловлено отсутствием необходимой информации в открытом доступе, при этом, представитель Заказчика отметил, что объектом закупочной процедуры является оказание услуг по диагностике, техническому обслуживанию и ремонту автотранспортных средств, ввиду чего зная VI^ номер автомобиля специалистам СТО представляется возможным определить необходимую для замены деталь.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отмечает, что в соответствии с протоколом подведения итогов определения поставщика (подрядчика, исполнителя) от 12.12.2023 №ИЭА1 на участие в закупочной процедуре подано 3 заявки, что свидетельствует о возможности участия в закупочной процедуре и отсутствии ограничений количества участников.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Комиссия Управления приходит к выводу о том, что доводы Заявителя являются необоснованными.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Комиссия Управления отмечает, что Закон о контрактной системе не обязывает Заказчика при формировании лота и документации о закупочной процедуре устанавливать такие условия определения исполнителя, которые соответствовали бы всем существующим на рынке поставщикам.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на заседании Комиссии Управления установлено, что иные доводы жалобы Заявителя сводятся к обжалованию действий Заказчика, выразившиеся в неправомерном формировании начальной (максимальной) цены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ст.99 Закона о контрактной системе ФАС России осуществляет контроль в сфере закупок, за исключением контроля, предусмотренного частями 5, 8 и 10 статьи 99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П.3 ч.8 ст.99 Закона о контрактной системе установлено, что контроль за соблюдением требований к обоснованию начальной (максимальной) цены контракта, цены контракта, заключаемого с единственным поставщиком (подрядчиком, исполнителем), включенной в план-график, осуществляют органы внутреннего государственного (муниципального) финансового контроля.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 ч.9 ст.99 Закона о контрактной системе контроль в сфере закупок в соответствии с ч.8 ст.99 Закона о контрактной системе осуществляется в соответствии с порядком, предусмотренным бюджетным законодательством Российской Федерации и иными нормативными правовыми актами, регулирующими бюджетные правоотношения, в целях установления законности составления и исполнения бюджетов бюджетной системы Российской Федерации в отношении расходов, связанных с осуществлением закупок, достоверности учета таких расходов и отчетности в соответствии с настоящим Федеральным законом, Бюджетным кодексом Российской Федерации и принимаемыми в соответствии с ними нормативными правовыми актами Российской Федерации органом государственного финансового контроля,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являющимся органом (должностными лицами) исполнительной власти субъекта Российской Федерации, в отношении закупок для обеспечения нужд субъекта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рассмотрение жалоб участников закупок на предмет правомерности обоснования и расчета начальной (максимальной) цены контракта не относится к компетенции Московского УФАС России, в связи с чем данный довод не подлежит рассмотрению.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«ПСВ» на действия НИЦ «Курчатовский институт»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37" w:bottom="1114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56235" distL="0" distR="0" simplePos="0" relativeHeight="125829378" behindDoc="0" locked="0" layoutInCell="1" allowOverlap="1">
                <wp:simplePos x="0" y="0"/>
                <wp:positionH relativeFrom="page">
                  <wp:posOffset>732155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7.649999999999999pt;margin-top:42.pt;width:145.70000000000002pt;height:19.699999999999999pt;z-index:-125829375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0230" distB="0" distL="0" distR="1789430" simplePos="0" relativeHeight="125829380" behindDoc="0" locked="0" layoutInCell="1" allowOverlap="1">
            <wp:simplePos x="0" y="0"/>
            <wp:positionH relativeFrom="page">
              <wp:posOffset>3070225</wp:posOffset>
            </wp:positionH>
            <wp:positionV relativeFrom="paragraph">
              <wp:posOffset>570230</wp:posOffset>
            </wp:positionV>
            <wp:extent cx="389890" cy="572770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3566795</wp:posOffset>
                </wp:positionH>
                <wp:positionV relativeFrom="paragraph">
                  <wp:posOffset>1005840</wp:posOffset>
                </wp:positionV>
                <wp:extent cx="1280160" cy="1035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80.85000000000002pt;margin-top:79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3521075</wp:posOffset>
                </wp:positionH>
                <wp:positionV relativeFrom="paragraph">
                  <wp:posOffset>695325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25pt;margin-top:54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6235" distL="0" distR="0" simplePos="0" relativeHeight="125829381" behindDoc="0" locked="0" layoutInCell="1" allowOverlap="1">
                <wp:simplePos x="0" y="0"/>
                <wp:positionH relativeFrom="page">
                  <wp:posOffset>6181725</wp:posOffset>
                </wp:positionH>
                <wp:positionV relativeFrom="paragraph">
                  <wp:posOffset>533400</wp:posOffset>
                </wp:positionV>
                <wp:extent cx="1029970" cy="25019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86.75pt;margin-top:42.pt;width:81.100000000000009pt;height:19.699999999999999pt;z-index:-125829372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00СА17306423В8С790А31806189СОЕ338Р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18.04.2024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21510" simplePos="0" relativeHeight="125829383" behindDoc="0" locked="0" layoutInCell="1" allowOverlap="1">
            <wp:simplePos x="0" y="0"/>
            <wp:positionH relativeFrom="page">
              <wp:posOffset>3128010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3521075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25pt;margin-top:11.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С3030775Е8423Р1</w:t>
      </w:r>
      <w:r>
        <w:rPr>
          <w:color w:val="505050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3070225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3566795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80.85000000000002pt;margin-top:36.55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3521075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77.25pt;margin-top:12.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0В18Е97ВЕ55В5023ВССВ395Е903С1035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03.08.2023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26.10.2024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2023-61455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950000000000003pt;margin-top:794.7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2023-61455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2023-61455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pt;margin-top:804.5pt;width:56.64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2023-61455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2023-61455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56.950000000000003pt;margin-top:794.70000000000005pt;width:56.89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2023-61455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2023-61455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6.950000000000003pt;margin-top:794.70000000000005pt;width:56.899999999999999pt;height:7.9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2023-61455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94999999999999pt;margin-top:37.5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05000000000001pt;margin-top:16.550000000000001pt;width:5.29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8.94999999999999pt;margin-top:37.5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308.94999999999999pt;margin-top:37.5pt;width:5.0499999999999998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C6C6C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C6C6C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