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118745</wp:posOffset>
                </wp:positionV>
                <wp:extent cx="2694305" cy="172529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4305" cy="1725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1о08@йз.§оу.ги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 НН/1840/23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5.550000000000004pt;margin-top:9.3499999999999996pt;width:212.15000000000001pt;height:135.84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Лермонтова, д. 4, г. Элиста, 358000</w:t>
                        <w:br/>
                        <w:t>тел./факс: (847 22) 4-13-31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1о08@йз.§оу.ги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 НН/1840/23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8310" distB="0" distL="6350" distR="69850" simplePos="0" relativeHeight="125829381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2551430</wp:posOffset>
            </wp:positionV>
            <wp:extent cx="2621280" cy="18288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2103120</wp:posOffset>
                </wp:positionV>
                <wp:extent cx="2694305" cy="1403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430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361A4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165.59999999999999pt;width:212.15000000000001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color w:val="4361A4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54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 антимонопольн</w:t>
        <w:br/>
        <w:t>цергллтин</w:t>
        <w:br/>
        <w:t>Хальмг Тацйчар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УУЛДДГ ЗАЛЛТ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балЬсн, 358000</w:t>
        <w:br/>
        <w:t>тел./факс: (847 22) 4-13-31</w:t>
        <w:br/>
        <w:t>е-таП: 1о08@Га8.§оу.ги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987" w:val="left"/>
          <w:tab w:pos="5310" w:val="left"/>
        </w:tabs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</w:t>
        <w:tab/>
        <w:t>МПК</w:t>
        <w:tab/>
        <w:t>Елец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399770, Липецкая область, г.Елец, пер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310" w:val="left"/>
        </w:tabs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Кирпичный,</w:t>
        <w:tab/>
        <w:t>д.27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трк-тагке11пд@тайли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3194" w:val="left"/>
          <w:tab w:pos="4878" w:val="left"/>
        </w:tabs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Национальная электронная площадка: «Фабрикант» 123112,</w:t>
        <w:tab/>
        <w:t>г.</w:t>
        <w:tab/>
        <w:t>Москва,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Тестовская, д. 10, этаж 18, помещ.1, комната 13 аи4йог8@ефхли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 РК Республиканкая больница им.Жемчуева ге8Ъо11@уап4ех.ги‘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 регулирования контрактной системы в сфере закупок Республики Калмыкия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Гоппдо//а1&lt;ир1&lt;1@1паП.П1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92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23" w:right="646" w:bottom="1217" w:left="535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008/06/33-272/2023</w:t>
      </w:r>
    </w:p>
    <w:p>
      <w:pPr>
        <w:pStyle w:val="Style16"/>
        <w:keepNext w:val="0"/>
        <w:keepLines w:val="0"/>
        <w:framePr w:w="1848" w:h="341" w:wrap="none" w:vAnchor="text" w:hAnchor="page" w:x="113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 декабря 2023 г.</w:t>
      </w:r>
    </w:p>
    <w:p>
      <w:pPr>
        <w:pStyle w:val="Style16"/>
        <w:keepNext w:val="0"/>
        <w:keepLines w:val="0"/>
        <w:framePr w:w="960" w:h="341" w:wrap="none" w:vAnchor="text" w:hAnchor="page" w:x="99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Элиста</w:t>
      </w:r>
    </w:p>
    <w:p>
      <w:pPr>
        <w:widowControl w:val="0"/>
        <w:spacing w:after="34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3" w:right="537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объявлена - 13.12.2023г.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3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изготовлено в полном объеме - 18.12.2023г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Ностаева Н.В. - председатель Комиссии, Врио руководителя Калмыцкого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Мархадаева А.М. - член Комиссии, старший государственный инспектор Калмыцкого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Габунов А.В. - член Комиссии, специалист 1 разряда Калмыцкого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представителей по доверенности по связи ВКС: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Заказчика - БУ РК «Республиканская больница им. П.П. Жемчуева» - Дурдусова Д.С. (доверенность №б/н от 14.04.2023); представителя Уполномоченного органа - Службы регулирования контрактной системы в сфере закупок Республики Калмыкия - Бимбеевой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отсутствии представителя заявителя ООО «Медико-Производительная Компания «Елец» уведомлен о времени и дате,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открытом заседании жалобу ООО «Медико-Производительная Компания «Елец»,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7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Калмыцкое УФАС России (вх. №08/10-31) 07.12.2023, поступила жалоба от ООО «Медико-Производительная Компания «Елец» на положения извещения об осуществления закупки Заказчика - БУ РК «Республиканская больница им. П.П. Жемчуева», Уполномоченного органа - Службы регулирования контрактной системы в сфере закупок Республики Калмыкия, при проведении электронного аукциона в электронной форме на поставку медицинского расходного материала, реестровый номер извещения №0105500000223001848.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Заявитель, считает, что извещение о проведении электронного аукциона в электронной форме содержит нарушения Закона о контрактной системы.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Уведомлением от 11.12.2023г. рассмотрение жалобы ООО «Медико-Производительная Компания «Елец» по существу было назначено на 13.12.2023г. в «10» часов «30» минут.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дату рассмотрения жалобы, процедура приостановлена.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доводам жалобы, Заявитель ООО «Медико-Производительная Компания «Елец» считает что: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противоречащим законодательству о контрактной системе в сфере закупок товаров, работ, услуг для обеспечения государственных и муниципальных нужд ввиду установления по позициям 1, 3, 5, 7 описании объекта закупки дополнительных требований к товару, которые не предусмотренных КТРУ, и без указания надлежащего обоснования.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на заседании комиссии представил письменные пояснения по существу жалобы, согласно которым считают ее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Уполномоченного органа на заседании комиссии так же представил письменные пояснения по существу жалобы, согласно которым так же считают ее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Калмыцкого УФАС России, рассмотрев все имеющиеся материалы дела, выслушав лиц, участвующих в рассмотрении, а также в ходе проведения внеплановой проверки приходит к следующим выводам: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29.11.2023 года Уполномоченным органом на официальном сайте Российской Федерации в информационно-телекоммуникационной сети «Интернет»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м'М'жгакирккдоу.ги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р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азмещено извещения № 0105500000223001848 при проведении электронного аукциона в электронной форме на поставку медицинского расходного оборудования.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контракта- 3 516 725 руб. 00 копеек.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до 12.12.2023г. 08:00.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проведения итогов определения поставщика (подрядчика,исполнителя) 12.12.2023г.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части 1 статьи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(реестровый ^ 0105500000223000516) является поставка изделий медицинского назначения (шприцы), относящегося к следующим кодам КТРУ: 32.50.13.110-03210, 32.50.13.110-00004580, 32.50.13.110-00004568.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каталога),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^ 145 "Об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25 (1) - 25 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^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^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извещение, Комиссия Управления приходит к выводу, что Заказчик использует позиции КТРУ, при этом при описании объекта закупки использует не только информацию, включенную в позицию каталога, но и устанавливает дополнительные характеристики к товару.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Например: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4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пп. 1.7 "Технического задания на поставку медицинского расходного материала" по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позиции Шприца общего назначения, код КТРУ 32.50.13.110-00004580 Заказчиком установлена такая дополнительная характеристика как: "цвет штока розовый или зеленый";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п.п. 3.7 "Технического задания на поставку медицинского расходного материала" по позиции Шприца общего назначения, код КТРУ 32.50.13.110-00004580 Заказчиком установлена такая дополнительная характеристика как: "Цвет штока: желтый (лимонный) или розовый";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п.п. 5.7 "Технического задания на поставку медицинского расходного материала" по позиции Шприца общего назначения, код КТРУ 32.50.13.110-00004580 Заказчиком установлена такая дополнительная характеристика как: "Цвет штока: синий или красный";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п.п. 7.7 "Технического задания на поставку медицинского расходного материала" по позиции Шприца общего назначения, код КТРУ 32.50.13.110-00004580 Заказчиком установлена такая дополнительная характеристика как: "Цвет штока: бежевый или фиолетовый".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в обоснование установления дополнительных характеристик по каждой из вышеперечисленных позиций Заказчиком установлено следующее: "Цветовая дифференциация мед шприцев - снижение риска ошибочного введения препарата, облегчение контроля работы среднего медицинского персонала".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Следует отметить, что Законом о контрактной системе не предусмотрены конкретные формы обоснования дополнительных характеристик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Спорные дополнительные характеристики отражают действительную потребность Заказчика в приобретении товара, в наибольшей степени соответствующего целям оказания качественных медицинских услуг, с учетом специфики деятельности учреждения, исходя из принципа ответственности за результативность обеспечения государственных нужд, эффективность осуществления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обоснование включения в описание объекта закупки дополнительных характеристик, не предусмотренных КТРУ, имеется ко всем позициям закупаемых товаров.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о необходимости использования Заказчиком характеристик в отношении закупаемых товаров непосредственно в соответствии с требованиями Госта 180 7886</w:t>
        <w:softHyphen/>
        <w:t>1-2011 "Межгосударственный стандарт. Шприцы инъекционные однократного применения стерильные. Часть 1. Шприцы для ручного использования", не нашел своего подтверждения.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Заявитель явку своего представителя на рассмотрение жалобы не обеспечил, в материалах дела отсутствуют какие-либо доказательства, подтверждающие данные доводы Заявителя, в связи с чем Комиссия Управления приходит к выводу, что такие доводы Заявителя не находят своего подтверждения и являются необоснованными.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руководствуясь частью 1 статьи 2, частью 15 статьи 99, частью 8 статьи 106 Закона о контрактной системе, Комиссия Калмыцкого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«Медико-Производительная Компания «Елец» -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47498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82880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0;width:144.pt;height:19.699999999999999pt;z-index:-125829371;mso-wrap-distance-left:0;mso-wrap-distance-right:0;mso-wrap-distance-bottom:37.3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770" distB="0" distL="0" distR="1786255" simplePos="0" relativeHeight="125829384" behindDoc="0" locked="0" layoutInCell="1" allowOverlap="1">
            <wp:simplePos x="0" y="0"/>
            <wp:positionH relativeFrom="page">
              <wp:posOffset>2632075</wp:posOffset>
            </wp:positionH>
            <wp:positionV relativeFrom="paragraph">
              <wp:posOffset>191770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3089275</wp:posOffset>
                </wp:positionH>
                <wp:positionV relativeFrom="paragraph">
                  <wp:posOffset>594360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3.25pt;margin-top:46.80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280035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9.90000000000001pt;margin-top:22.0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2730" distB="219710" distL="0" distR="0" simplePos="0" relativeHeight="125829385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252730</wp:posOffset>
                </wp:positionV>
                <wp:extent cx="111569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44999999999999pt;margin-top:19.900000000000002pt;width:87.850000000000009pt;height:19.900000000000002pt;z-index:-125829368;mso-wrap-distance-left:0;mso-wrap-distance-top:19.900000000000002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7В5382Е7ВА25ВЕ4938ЕОА5С70В844960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3060"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18.07.2024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6"/>
      <w:r>
        <w:br w:type="page"/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Габунов Алдар Вячеславович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00В00ЕЕ0ЕО73770ВЕ110СС617ЕЕ513688Е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16.11.2022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09.02.2024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95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1280160" distL="437515" distR="120015" simplePos="0" relativeHeight="125829387" behindDoc="0" locked="0" layoutInCell="1" allowOverlap="1">
                <wp:simplePos x="0" y="0"/>
                <wp:positionH relativeFrom="page">
                  <wp:posOffset>6158865</wp:posOffset>
                </wp:positionH>
                <wp:positionV relativeFrom="margin">
                  <wp:posOffset>1833245</wp:posOffset>
                </wp:positionV>
                <wp:extent cx="102743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Габунов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4.94999999999999pt;margin-top:144.34999999999999pt;width:80.900000000000006pt;height:19.900000000000002pt;z-index:-125829366;mso-wrap-distance-left:34.450000000000003pt;mso-wrap-distance-right:9.4500000000000011pt;mso-wrap-distance-bottom:100.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Габунов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83335" distB="0" distL="114300" distR="114300" simplePos="0" relativeHeight="125829389" behindDoc="0" locked="0" layoutInCell="1" allowOverlap="1">
                <wp:simplePos x="0" y="0"/>
                <wp:positionH relativeFrom="page">
                  <wp:posOffset>5835650</wp:posOffset>
                </wp:positionH>
                <wp:positionV relativeFrom="margin">
                  <wp:posOffset>3116580</wp:posOffset>
                </wp:positionV>
                <wp:extent cx="1356360" cy="25019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А.М. Мархадаева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9.5pt;margin-top:245.40000000000001pt;width:106.8pt;height:19.699999999999999pt;z-index:-125829364;mso-wrap-distance-left:9.pt;mso-wrap-distance-top:101.05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А.М. Мархадаева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00АЕЕ8В8Е9ОЕАЕА6С81965374295ВВ73Е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10.04.2024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9" w:right="531" w:bottom="1188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10034270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90.1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1A4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4"/>
      <w:sz w:val="19"/>
      <w:szCs w:val="19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Заголовок №2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8">
    <w:name w:val="Основной текст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1A4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2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4"/>
      <w:sz w:val="19"/>
      <w:szCs w:val="19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ind w:left="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auto"/>
      <w:spacing w:after="1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7">
    <w:name w:val="Основной текст (3)"/>
    <w:basedOn w:val="Normal"/>
    <w:link w:val="CharStyle28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00"/>
      <w:ind w:left="37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