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651760" distL="1174750" distR="1139190" simplePos="0" relativeHeight="125829378" behindDoc="0" locked="0" layoutInCell="1" allowOverlap="1">
            <wp:simplePos x="0" y="0"/>
            <wp:positionH relativeFrom="page">
              <wp:posOffset>1786255</wp:posOffset>
            </wp:positionH>
            <wp:positionV relativeFrom="paragraph">
              <wp:posOffset>12700</wp:posOffset>
            </wp:positionV>
            <wp:extent cx="511810" cy="597535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9753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04215" distB="1713230" distL="312420" distR="264160" simplePos="0" relativeHeight="125829379" behindDoc="0" locked="0" layoutInCell="1" allowOverlap="1">
                <wp:simplePos x="0" y="0"/>
                <wp:positionH relativeFrom="page">
                  <wp:posOffset>923925</wp:posOffset>
                </wp:positionH>
                <wp:positionV relativeFrom="paragraph">
                  <wp:posOffset>716915</wp:posOffset>
                </wp:positionV>
                <wp:extent cx="2249170" cy="8318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9170" cy="8318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6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4562A3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562A3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Ростовской области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72.75pt;margin-top:56.450000000000003pt;width:177.09999999999999pt;height:65.5pt;z-index:-125829374;mso-wrap-distance-left:24.600000000000001pt;mso-wrap-distance-top:55.450000000000003pt;mso-wrap-distance-right:20.800000000000001pt;mso-wrap-distance-bottom:134.9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6" w:lineRule="auto"/>
                        <w:ind w:left="0" w:right="0"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color w:val="4562A3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color w:val="4562A3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Ростовской области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1661160" distB="832485" distL="336550" distR="447040" simplePos="0" relativeHeight="125829381" behindDoc="0" locked="0" layoutInCell="1" allowOverlap="1">
                <wp:simplePos x="0" y="0"/>
                <wp:positionH relativeFrom="page">
                  <wp:posOffset>948055</wp:posOffset>
                </wp:positionH>
                <wp:positionV relativeFrom="paragraph">
                  <wp:posOffset>1673860</wp:posOffset>
                </wp:positionV>
                <wp:extent cx="2042160" cy="75565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2160" cy="7556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пр. Ворошиловский, 2/2, офис 403</w:t>
                              <w:br/>
                              <w:t>г. Ростов-на-Дону, 344006</w:t>
                              <w:br/>
                              <w:t>тел. (863) 263-31-04, факс (863) 240-99-59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е-тай: 1о61@Га5.§оу.ги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28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штамп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642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регистрации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4562A3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кг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74.650000000000006pt;margin-top:131.80000000000001pt;width:160.80000000000001pt;height:59.5pt;z-index:-125829372;mso-wrap-distance-left:26.5pt;mso-wrap-distance-top:130.80000000000001pt;mso-wrap-distance-right:35.200000000000003pt;mso-wrap-distance-bottom:65.549999999999997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пр. Ворошиловский, 2/2, офис 403</w:t>
                        <w:br/>
                        <w:t>г. Ростов-на-Дону, 344006</w:t>
                        <w:br/>
                        <w:t>тел. (863) 263-31-04, факс (863) 240-99-59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е-тай: 1о61@Га5.§оу.ги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28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штамп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642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регистрации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4562A3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кг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3075305" distB="0" distL="117475" distR="114300" simplePos="0" relativeHeight="125829383" behindDoc="0" locked="0" layoutInCell="1" allowOverlap="1">
            <wp:simplePos x="0" y="0"/>
            <wp:positionH relativeFrom="page">
              <wp:posOffset>728980</wp:posOffset>
            </wp:positionH>
            <wp:positionV relativeFrom="paragraph">
              <wp:posOffset>3088005</wp:posOffset>
            </wp:positionV>
            <wp:extent cx="2597150" cy="176530"/>
            <wp:wrapSquare wrapText="right"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765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725805</wp:posOffset>
                </wp:positionH>
                <wp:positionV relativeFrom="paragraph">
                  <wp:posOffset>2621915</wp:posOffset>
                </wp:positionV>
                <wp:extent cx="2578735" cy="16129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61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7.149999999999999pt;margin-top:206.45000000000002pt;width:203.05000000000001pt;height:12.7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722630</wp:posOffset>
                </wp:positionH>
                <wp:positionV relativeFrom="paragraph">
                  <wp:posOffset>4626610</wp:posOffset>
                </wp:positionV>
                <wp:extent cx="697865" cy="219710"/>
                <wp:wrapSquare wrapText="righ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786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13.12.2023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6.899999999999999pt;margin-top:364.30000000000001pt;width:54.950000000000003pt;height:17.300000000000001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13.12.2023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ИП Никоян А.Г.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(далее - Заявитель)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снт Родничек 5, г. Екатеринбург, Свердловская область, 620007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3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ЕтаП: о.дех1га@уапдех.ш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Государственное бюджетное учреждение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Ростовской области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«Областной клинический центр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фтизиопульмонологии»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(далее - Заказчик)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Орская, д. 24, г. Ростов-на-Дону, 344093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ЕтаП: гоз1о\'-81Ь@1паПти.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3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хакирИр1Ы@уапдех.ги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ЭТП «Фабрикант»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4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(далее - Оператор электронной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4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площадки)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464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ЕтаП: аиШ1ога@е1рх.ш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  <w:br/>
        <w:t>по результатам рассмотрения дела</w:t>
        <w:br/>
        <w:t>№061/06/42-4494/2023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Ростов-на-Дону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Ростовской области (далее - Ростовское УФАС России, Комиссия) по контролю соблюдения законодательства в сфере закупок в составе: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30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Комиссии:</w:t>
        <w:tab/>
        <w:t>М.А. Благодарев,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30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  <w:tab/>
        <w:t>С.А. Евстратова,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А.А. Вертий,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дело №061/06/42-4494/2023 по жалобе Заявителя о нарушении Заказчиком при проведении электронного аукциона №0358200034823000579 «Поставка расходных медицинских материалов» (далее - аукцион) норм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Закон), путем использования системы видеоконференц-связи (ВКС) при участии представителя Заказчика — Икрянова Е.В. (доверенность от 17.11.2023), Артемова А.В. (доверенность от 20.06.2023), в отсутствие Заявителя, уведомленного надлежащим образом,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Ростовское УФАС России поступила жалоба Заявителя на действия ГБУ РО «Областной клинический центр фтизиопульмонологии».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в возражениях на жалобу: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62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отрицал нарушения Закона в действиях Заказчика;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62" w:val="left"/>
        </w:tabs>
        <w:bidi w:val="0"/>
        <w:spacing w:before="0" w:after="70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представил пояснения по доводу жалобы.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ч.ч.1,3 ст.99 Закона, в ходе рассмотрения дела установлено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Извещение об осуществлении закупки размещено Заказчиком в Единой информационной системе в сфере закупок (далее — ЕИС) на официальном сайте \\л\л\'.хакирк1.до\'.ги 01.12.2023, согласно которому: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0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установлены дата и время окончания подачи заявок - 08.12.2023 10:00 (МСК);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02" w:val="left"/>
        </w:tabs>
        <w:bidi w:val="0"/>
        <w:spacing w:before="0" w:after="24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начальная (максимальная) цена контракта (НМЦК) составила 1 221 133, 80 рублей.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доводу жалобы, Заказчиком в описании объекта закупки установлены характеристики, противоречащие друг другу «рабочая длина 25 мм», «удлинительная трубка», а также действующим стандартам.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п.1 ч.2 ст.42 Закона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совокупного толкования п.1,2 ч.1, ч.2 ст.33 Закона следует, что описание объекта закупки должно носить объективный характер, то есть быть продиктовано истинными (а не мнимыми и недоказанными) потребностями заказчика, а также исключать любую возможность необоснованного ограничения количества потенциальных участников закупки установлением в извещении о проведении закупки заведомо неисполнимых требований либо требований, удовлетворить которые может лишь ограниченный круг лиц (при отсутствии доказательств действительной необходимости в установлении таких требований). Описание объекта закупки - это фиксация заказчиком в извещении о закупке качественных и количественных характеристик, признаков товара, обусловливающих их способность удовлетворять потребности и запросы заказчика, соответствовать своему назначению и предъявляемым требованиям.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ч.6 ст.23 Закона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Во исполнение ч.6 ст.23 Закона Правительством Российской Федерации принято Постановление от 08.02.2017 №145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- Правила).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 4 Правил закрепляет, что заказчики обязаны применять информацию, включенную в позицию каталога в соответствии с подпунктами «б»-«и» п.10 Правил, утвержденных постановлением Правительства Российской Федерации от 08.02.2017 №145, с указанной в ней даты начала обязательного применения.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подпункта "д" пункта 10 Правил формирования каталога код вида медицинского изделия указывается в справочной информации, включенной в позицию каталога, которая не образует описания объекта закупки в понимании статьи 33 Закона и не включена в перечень информации, подлежащей в соответствии с пунктом 4 Правил использования каталога обязательному использованию заказчиком при осуществлении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 заказчик обязан при планировании закупки и ее осуществлении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07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наименование товара, работы, услуги;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0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12" w:val="left"/>
        </w:tabs>
        <w:bidi w:val="0"/>
        <w:spacing w:before="0" w:after="24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описание товара, работы, услуги (при наличии такого описания в позиции).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извещению, закупке подлежит, в том числе, катетер для периферических сосудов. Заказчиком применена позиция Каталога товаров, работ, услуг (далее — КТРУ) 32.50.13.110</w:t>
        <w:softHyphen/>
        <w:t>00004594.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Соответствующая позиция КТРУ предполагает выбор обязательных и необязательных для применения характеристик: «диаметр катетера, О», «инъекционный порт», «крылья для фиксации», «механизм защиты инъекционного порта», «рабочая длина», «рентгеноконтрастность», «удлиненная трубка», «устройство защиты от укола иглой». Указанные характеристики в полном объеме отражены Заказчиком в описании объекта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Характеристика «удлинительная трубка» является обязательной для применения и содержит условие «да», как и «рабочая длина», имеющая значения в интервале от 14 до 27 мм.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 учетом изложенного, Заказчиком определена потребность в закупаемом товаре с учетом имеющихся характеристик выбранной позиции КТРУ.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Довод жалобы не нашел своего подтверждения.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рамках проведения в соответствии с ч.15 ст.99 Закона внеплановой проверки Комиссией Ростовского УФАС России установлено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п.5 - 6 Правил заказчики вправе указать в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случае предоставления дополнительной информации, предусмотренной пунктом 5 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Заказчик, закупая товары, обязан включить требования, установленные в КТРУ, в описание закупки, а также, в случае установления дополнительных характеристик, обосновать объективную необходимость в таких характеристиках.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Заказчиком в описании объекта закупки представлено обоснование дополнительных характеристик по всем позициям, которые по мнению Комиссии, представлены не по каждой позиции установленных дополнительных характеристик товара (представлены в целом, то есть не понятно к каким именно дополнительным характеристикам товара относится соответствующее обоснование).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Включение в описание объекта закупки подобным образом оформленного обоснования необходимости использования дополнительных характеристик является нарушением п.6 Правил и ч.6 ст.23 Закона.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положениями Закона, в случаях если при рассмотрении жалобы или проведения внеплановой проверки выявлены нарушения законодательства Российской Федерации и иных нормативных правовых актов о контрактной системе в сфере закупок товаров, работ, услуг для обеспечения государственных и муниципальных нужд, Комиссия выдает предписание об устранении допущенных нарушений. Комиссия вправе не выдавать предписание только в случае выявления нарушений законодательства Российской Федерации и иных нормативных правовых актов о контрактной системе, которые не повлияли или не могли повлиять на результаты определения поставщика (подрядчика, исполнителя).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принимая во внимание тот факт, что нарушения, установленные при проведении внеплановой проверки в данном случае не привели к принятию неправильного решения, руководствуясь Законом, основания для выдачи предписания о внесении изменений в извещение о проведении аукциона отсутствуют, поскольку действия Заказчика не повлияли и не могли повлиять на результаты определения поставщика (подрядчика, исполнителя).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Постановления Правительства РФ от 26.08.2013г. №728, в соответствии с ч.15 ст.99, ч.8 ст.106 Закона,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1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ИП Никоян А.Г. необоснованной.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3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Заказчика нарушившим ч.6 ст.23 Закона.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25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об устранении нарушений не выдавать, поскольку действия Заказчика не повлияли и не могли повлиять на результаты определения поставщика (подрядчика, исполнителя).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30" w:val="left"/>
        </w:tabs>
        <w:bidi w:val="0"/>
        <w:spacing w:before="0" w:after="24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Рассмотреть вопрос о привлечении к административной ответственности виновных должностных лиц Заказчика.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ч.9 ст.106 Закона решение может быть обжаловано в судебном порядке в течение трех месяцев со дня его принятия.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М.А. Благодарев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00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Мост дня подписи: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300" w:line="240" w:lineRule="auto"/>
        <w:ind w:right="0" w:firstLine="0"/>
        <w:jc w:val="left"/>
      </w:pPr>
      <w:bookmarkStart w:id="2" w:name="bookmark2"/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Биа г одарии М. А.</w:t>
      </w:r>
      <w:bookmarkEnd w:id="2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С.А. Евстратова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60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Мест дня подписи: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580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Евсгра1ОЁ±а С- 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А.А. Вертий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00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Мест для подписи: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4680" w:line="240" w:lineRule="auto"/>
        <w:ind w:right="0" w:firstLine="0"/>
        <w:jc w:val="left"/>
      </w:pPr>
      <w:bookmarkStart w:id="4" w:name="bookmark4"/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Верти А. А.</w:t>
      </w:r>
      <w:bookmarkEnd w:id="4"/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Исп.Вертий А.А.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тел.(863) 240-86-88, вн.061-132</w:t>
      </w:r>
    </w:p>
    <w:sectPr>
      <w:footerReference w:type="default" r:id="rId9"/>
      <w:footerReference w:type="first" r:id="rId10"/>
      <w:footnotePr>
        <w:pos w:val="pageBottom"/>
        <w:numFmt w:val="decimal"/>
        <w:numRestart w:val="continuous"/>
      </w:footnotePr>
      <w:pgSz w:w="11900" w:h="16840"/>
      <w:pgMar w:top="1042" w:right="534" w:bottom="1227" w:left="1100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9977755</wp:posOffset>
              </wp:positionV>
              <wp:extent cx="719455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2023-23925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6.800000000000004pt;margin-top:785.64999999999998pt;width:56.64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2023-23925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9977755</wp:posOffset>
              </wp:positionV>
              <wp:extent cx="719455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2023-23925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7.149999999999999pt;margin-top:785.64999999999998pt;width:56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2023-23925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7">
    <w:name w:val="Основной текст (3)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2A3"/>
      <w:sz w:val="16"/>
      <w:szCs w:val="16"/>
      <w:u w:val="none"/>
    </w:rPr>
  </w:style>
  <w:style w:type="character" w:customStyle="1" w:styleId="CharStyle9">
    <w:name w:val="Основной текст (6)_"/>
    <w:basedOn w:val="DefaultParagraphFont"/>
    <w:link w:val="Style8"/>
    <w:rPr>
      <w:rFonts w:ascii="Arial" w:eastAsia="Arial" w:hAnsi="Arial" w:cs="Arial"/>
      <w:b/>
      <w:bCs/>
      <w:i w:val="0"/>
      <w:iCs w:val="0"/>
      <w:smallCaps w:val="0"/>
      <w:strike w:val="0"/>
      <w:color w:val="202020"/>
      <w:sz w:val="10"/>
      <w:szCs w:val="10"/>
      <w:u w:val="none"/>
    </w:rPr>
  </w:style>
  <w:style w:type="character" w:customStyle="1" w:styleId="CharStyle12">
    <w:name w:val="Подпись к картинке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2A3"/>
      <w:sz w:val="19"/>
      <w:szCs w:val="19"/>
      <w:u w:val="none"/>
    </w:rPr>
  </w:style>
  <w:style w:type="character" w:customStyle="1" w:styleId="CharStyle14">
    <w:name w:val="Основной текст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7">
    <w:name w:val="Колонтитул (2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0">
    <w:name w:val="Заголовок №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2">
    <w:name w:val="Основной текст (4)_"/>
    <w:basedOn w:val="DefaultParagraphFont"/>
    <w:link w:val="Style21"/>
    <w:rPr>
      <w:rFonts w:ascii="Arial" w:eastAsia="Arial" w:hAnsi="Arial" w:cs="Arial"/>
      <w:b/>
      <w:bCs/>
      <w:i w:val="0"/>
      <w:iCs w:val="0"/>
      <w:smallCaps w:val="0"/>
      <w:strike w:val="0"/>
      <w:color w:val="898989"/>
      <w:sz w:val="22"/>
      <w:szCs w:val="22"/>
      <w:u w:val="none"/>
    </w:rPr>
  </w:style>
  <w:style w:type="character" w:customStyle="1" w:styleId="CharStyle24">
    <w:name w:val="Заголовок №2_"/>
    <w:basedOn w:val="DefaultParagraphFont"/>
    <w:link w:val="Style23"/>
    <w:rPr>
      <w:rFonts w:ascii="Arial" w:eastAsia="Arial" w:hAnsi="Arial" w:cs="Arial"/>
      <w:b/>
      <w:bCs/>
      <w:i w:val="0"/>
      <w:iCs w:val="0"/>
      <w:smallCaps w:val="0"/>
      <w:strike w:val="0"/>
      <w:color w:val="898989"/>
      <w:u w:val="none"/>
    </w:rPr>
  </w:style>
  <w:style w:type="character" w:customStyle="1" w:styleId="CharStyle26">
    <w:name w:val="Основной текст (5)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120" w:line="257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auto"/>
      <w:spacing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2A3"/>
      <w:sz w:val="16"/>
      <w:szCs w:val="16"/>
      <w:u w:val="none"/>
    </w:rPr>
  </w:style>
  <w:style w:type="paragraph" w:customStyle="1" w:styleId="Style8">
    <w:name w:val="Основной текст (6)"/>
    <w:basedOn w:val="Normal"/>
    <w:link w:val="CharStyle9"/>
    <w:pPr>
      <w:widowControl w:val="0"/>
      <w:shd w:val="clear" w:color="auto" w:fill="auto"/>
      <w:ind w:firstLine="140"/>
    </w:pPr>
    <w:rPr>
      <w:rFonts w:ascii="Arial" w:eastAsia="Arial" w:hAnsi="Arial" w:cs="Arial"/>
      <w:b/>
      <w:bCs/>
      <w:i w:val="0"/>
      <w:iCs w:val="0"/>
      <w:smallCaps w:val="0"/>
      <w:strike w:val="0"/>
      <w:color w:val="202020"/>
      <w:sz w:val="10"/>
      <w:szCs w:val="10"/>
      <w:u w:val="none"/>
    </w:rPr>
  </w:style>
  <w:style w:type="paragraph" w:customStyle="1" w:styleId="Style11">
    <w:name w:val="Подпись к картинке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2A3"/>
      <w:sz w:val="19"/>
      <w:szCs w:val="19"/>
      <w:u w:val="none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6">
    <w:name w:val="Колонтитул (2)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9">
    <w:name w:val="Заголовок №1"/>
    <w:basedOn w:val="Normal"/>
    <w:link w:val="CharStyle20"/>
    <w:pPr>
      <w:widowControl w:val="0"/>
      <w:shd w:val="clear" w:color="auto" w:fill="auto"/>
      <w:spacing w:after="2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1">
    <w:name w:val="Основной текст (4)"/>
    <w:basedOn w:val="Normal"/>
    <w:link w:val="CharStyle22"/>
    <w:pPr>
      <w:widowControl w:val="0"/>
      <w:shd w:val="clear" w:color="auto" w:fill="auto"/>
      <w:spacing w:after="130" w:line="262" w:lineRule="auto"/>
      <w:ind w:left="3380"/>
    </w:pPr>
    <w:rPr>
      <w:rFonts w:ascii="Arial" w:eastAsia="Arial" w:hAnsi="Arial" w:cs="Arial"/>
      <w:b/>
      <w:bCs/>
      <w:i w:val="0"/>
      <w:iCs w:val="0"/>
      <w:smallCaps w:val="0"/>
      <w:strike w:val="0"/>
      <w:color w:val="898989"/>
      <w:sz w:val="22"/>
      <w:szCs w:val="22"/>
      <w:u w:val="none"/>
    </w:rPr>
  </w:style>
  <w:style w:type="paragraph" w:customStyle="1" w:styleId="Style23">
    <w:name w:val="Заголовок №2"/>
    <w:basedOn w:val="Normal"/>
    <w:link w:val="CharStyle24"/>
    <w:pPr>
      <w:widowControl w:val="0"/>
      <w:shd w:val="clear" w:color="auto" w:fill="auto"/>
      <w:spacing w:after="2490"/>
      <w:ind w:left="3380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color w:val="898989"/>
      <w:u w:val="none"/>
    </w:rPr>
  </w:style>
  <w:style w:type="paragraph" w:customStyle="1" w:styleId="Style25">
    <w:name w:val="Основной текст (5)"/>
    <w:basedOn w:val="Normal"/>
    <w:link w:val="CharStyle26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docProps/core.xml><?xml version="1.0" encoding="utf-8"?>
<cp:coreProperties xmlns:cp="http://schemas.openxmlformats.org/package/2006/metadata/core-properties" xmlns:dc="http://purl.org/dc/elements/1.1/">
  <dc:title>Решение Еврейского УФАС России от 15.09.2022 по делу N 079/06/106-20/2022Нарушение: ст. 8, п. п. 1, 2 ч. 1 ст. 33; ч. 6 ст. 23, п. п. 5, 6 Правил использования каталога товаров, работ, услуг для обеспечения государственных и муниципальных нужд, утвержденных постановления Правительства РФ от 08.02.2017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нужд.Решение: Признать жалоб</dc:title>
  <dc:subject/>
  <dc:creator/>
  <cp:keywords/>
</cp:coreProperties>
</file>