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54034/23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Каландарова И. 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каойгсе@тай.ги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ГБОУ г. Москвы «Школа № 2109»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2109@еди.то8.ги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Дирекция ДОНМ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362" w:bottom="621" w:left="1298" w:header="0" w:footer="3" w:gutter="0"/>
          <w:pgNumType w:start="1"/>
          <w:cols w:num="2" w:space="974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^^Vа^8кауаIА@е4и.то8.^и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9149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077/06/106-17256/2023 о нарушении</w:t>
        <w:br/>
        <w:t>законодательства о контрактной системе</w:t>
        <w:br/>
        <w:t>13.12.2023</w:t>
        <w:tab/>
        <w:t>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Каландарова И. В.: Гаджиева А.И. (по доверенности №б/н от 12.12.2023);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ГБОУ г. Москвы «Школа № 2109»: Тырина А.В. (по доверенности №5 от 08.12.2023);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Дирекция ДОНМ: Лядухиной А.В. (в качестве слушателя),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Каландарова И. В. (далее — Заявитель) на действия ГБОУ г. Москвы «Школа № 2109» (далее — Заказчик) при проведении электронного аукциона на право заключения контракта на поставку форменного обмундирования для кадет для нужд ГБОУ Школа № 2109 в 2024 году (Закупка №0873500000823006670)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посредством функционала Единой информационной системы.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44" w:bottom="526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2023-61449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документация 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Комиссией Управления установлено, что согласно Техническому заданию Заказчиком установлены характеристики для закупаемого форменного обмундирования, например: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«Обувь форменная для детей и подростков»;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«Одежда для детей и подростков форменная», в частности: «Жакет форменный для девочек»: Дополнительные элементы одежды: Погоны; Шевроны; Пуговицы; Эмблемы.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Заказчик, устанавливая дополнительные требования о нашивке на одежду погонов; шевронов, пуговиц, эмблем, предполагает, что изначально типовая, неиндивидуальная вещь, предполагаемая к поставке, будет трансформирована поставщиком в индивидуальную. Заказчик возложил обязанность на поставщика сделать обмеры под каждого отдельного кадета и изготовить под него конкретную, не типовую вещь, данные услуги в таком случае нельзя отнести к договору поставки, поскольку они являются предметом договора подряда, так как на исполнителе лежит обязанность изготовить индивидуально</w:t>
        <w:softHyphen/>
        <w:t>определённое изделие.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считает, что неправомерно объединять в один лот технологически не связанные между собой услуг и работ - поставки типового изделия и изготовления индивидуально-определённой вещи. Коммерческие предложения могли исходить от тех лиц, которые занимаются непосредственно изготовлением индивидуально определённой вещи, то есть имеют соответствующую квалификацию, оборудование и в таком случае, естественно, подтвердят возможность предоставить изделие, обладающее индивидуальными признаками. Однако, существование данных лиц на рынке не означает автоматическое установление возможности разместить закупку с объединением в один лот технологически не связанных между собой услуг и работ и тем самым ограничивать участие в закупке лиц, которые потенциально могут быть заинтересованы осуществить поставку, но не имеют квалификации и оборудования в части швейного производства.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п. 1.6 проекта Контракта определено, что сопутствующие услуги оказываются Поставщиком в соответствии с требованиями Технического задания (при наличии сопутствующих услуг).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Приложением 3 к Техническому заданию «Требования к материалам товара» определены сопутствующие услуги для п.1-15 - Обмер учащихся производится представителем Поставщика.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Данная позиция Заказчика обусловлена наличием множества производителей кадетской формы, головных уборов и обуви. Типовые размеры разных производителей отличаются друг от друга, возможна поставка «маломерок».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Заказчика пояснил, что при расчете НМЦК использован метод сопоставимых рыночных цен (анализ рынка), на основании информации о рыночных ценах идентичных товаров и дополнительные элементы одежды являются составной частью необходимого Заказчику товара и были учтены в составе цены товара.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Управления, в свою очередь, отмечает, что предъявленные Заказчиком требования к необходимым к поставке товарам в равной степени распространялись на всех участников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вместе с тем на заседании Комиссии Управления, а также в составе жалобы Заявителем не представлено документов и сведений, подтверждающие доводы жалобы, в том числе подтверждающие ограничение количества участников закупки, а также свидетельствующих о нарушении Заказчиком норм Закона о контрактной системе, ввиду чего у Комиссии Управления отсутствуют правовые основания для признания комиссии Заказчика нарушившей требования Закона о контрактной системе.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согласно протоколу подведения итогов определения поставщика (подрядчика, исполнителя) от 12.12.2023 №ИЭА1 на участие в данной закупочной процедуре подано 13 заявок участников, соответствующие требованиям извещения, что свидетельствует об отсутствия ограничения количества участников, а также о возможности сформировать заявку на условиях извещения об осуществлении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ИП Каландарова И. В. на действия ГБОУ г. Москвы «Школа № 2109»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4" w:bottom="1162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9075" distL="0" distR="0" simplePos="0" relativeHeight="125829378" behindDoc="0" locked="0" layoutInCell="1" allowOverlap="1">
                <wp:simplePos x="0" y="0"/>
                <wp:positionH relativeFrom="page">
                  <wp:posOffset>730885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550000000000004pt;margin-top:10.pt;width:145.70000000000002pt;height:19.699999999999999pt;z-index:-125829375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1135" distB="0" distL="0" distR="1786255" simplePos="0" relativeHeight="125829380" behindDoc="0" locked="0" layoutInCell="1" allowOverlap="1">
            <wp:simplePos x="0" y="0"/>
            <wp:positionH relativeFrom="page">
              <wp:posOffset>2983230</wp:posOffset>
            </wp:positionH>
            <wp:positionV relativeFrom="paragraph">
              <wp:posOffset>191135</wp:posOffset>
            </wp:positionV>
            <wp:extent cx="365760" cy="40830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3413125</wp:posOffset>
                </wp:positionH>
                <wp:positionV relativeFrom="paragraph">
                  <wp:posOffset>288925</wp:posOffset>
                </wp:positionV>
                <wp:extent cx="1722120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68.75pt;margin-top:22.75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9075" distL="0" distR="0" simplePos="0" relativeHeight="125829381" behindDoc="0" locked="0" layoutInCell="1" allowOverlap="1">
                <wp:simplePos x="0" y="0"/>
                <wp:positionH relativeFrom="page">
                  <wp:posOffset>6025515</wp:posOffset>
                </wp:positionH>
                <wp:positionV relativeFrom="paragraph">
                  <wp:posOffset>127000</wp:posOffset>
                </wp:positionV>
                <wp:extent cx="1191895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18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4.44999999999999pt;margin-top:10.pt;width:93.850000000000009pt;height:19.699999999999999pt;z-index:-125829372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00Е9СЕАА6ВО6САО20В424А9502ЕС296Е8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22.12.2022 по 16.03.2024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27" w:bottom="277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2400" distB="356870" distL="0" distR="0" simplePos="0" relativeHeight="125829383" behindDoc="0" locked="0" layoutInCell="1" allowOverlap="1">
                <wp:simplePos x="0" y="0"/>
                <wp:positionH relativeFrom="page">
                  <wp:posOffset>730885</wp:posOffset>
                </wp:positionH>
                <wp:positionV relativeFrom="paragraph">
                  <wp:posOffset>152400</wp:posOffset>
                </wp:positionV>
                <wp:extent cx="137160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7.550000000000004pt;margin-top:12.pt;width:108.pt;height:19.900000000000002pt;z-index:-125829370;mso-wrap-distance-left:0;mso-wrap-distance-top:1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9230" distB="0" distL="0" distR="1786255" simplePos="0" relativeHeight="125829385" behindDoc="0" locked="0" layoutInCell="1" allowOverlap="1">
            <wp:simplePos x="0" y="0"/>
            <wp:positionH relativeFrom="page">
              <wp:posOffset>2962275</wp:posOffset>
            </wp:positionH>
            <wp:positionV relativeFrom="paragraph">
              <wp:posOffset>189230</wp:posOffset>
            </wp:positionV>
            <wp:extent cx="389890" cy="572770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3456305</wp:posOffset>
                </wp:positionH>
                <wp:positionV relativeFrom="paragraph">
                  <wp:posOffset>628015</wp:posOffset>
                </wp:positionV>
                <wp:extent cx="1280160" cy="1035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2.14999999999998pt;margin-top:49.450000000000003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3413125</wp:posOffset>
                </wp:positionH>
                <wp:positionV relativeFrom="paragraph">
                  <wp:posOffset>317500</wp:posOffset>
                </wp:positionV>
                <wp:extent cx="1722120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68.75pt;margin-top:25.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356870" distL="0" distR="0" simplePos="0" relativeHeight="125829386" behindDoc="0" locked="0" layoutInCell="1" allowOverlap="1">
                <wp:simplePos x="0" y="0"/>
                <wp:positionH relativeFrom="page">
                  <wp:posOffset>5854700</wp:posOffset>
                </wp:positionH>
                <wp:positionV relativeFrom="paragraph">
                  <wp:posOffset>152400</wp:posOffset>
                </wp:positionV>
                <wp:extent cx="1347470" cy="25273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74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61.pt;margin-top:12.pt;width:106.10000000000001pt;height:19.900000000000002pt;z-index:-125829367;mso-wrap-distance-left:0;mso-wrap-distance-top:1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44СЕО19О689ЕВ23598ВССВЕ99Е1С6Е2С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340" w:right="0" w:firstLine="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2983230</wp:posOffset>
            </wp:positionH>
            <wp:positionV relativeFrom="paragraph">
              <wp:posOffset>50800</wp:posOffset>
            </wp:positionV>
            <wp:extent cx="365760" cy="408305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3413125</wp:posOffset>
                </wp:positionH>
                <wp:positionV relativeFrom="paragraph">
                  <wp:posOffset>151130</wp:posOffset>
                </wp:positionV>
                <wp:extent cx="1722120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68.75pt;margin-top:11.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340" w:right="0" w:firstLine="0"/>
        <w:jc w:val="left"/>
      </w:pPr>
      <w:r>
        <w:rPr>
          <w:color w:val="EAEAE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008926921ЕВ71Е0631А2ЕЕ19ЕВВ8Е80В4Е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по 20.06.2024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2023-61449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2023-61449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2023-61449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6.850000000000001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2023-61449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0000000000002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05000000000001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5">
    <w:name w:val="Основной текст (4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64646"/>
      <w:sz w:val="12"/>
      <w:szCs w:val="12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auto"/>
      <w:spacing w:after="100"/>
      <w:ind w:left="217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6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64646"/>
      <w:sz w:val="12"/>
      <w:szCs w:val="12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