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1778000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1575435" distL="407035" distR="354965" simplePos="0" relativeHeight="125829379" behindDoc="0" locked="0" layoutInCell="1" allowOverlap="1">
                <wp:simplePos x="0" y="0"/>
                <wp:positionH relativeFrom="page">
                  <wp:posOffset>1010285</wp:posOffset>
                </wp:positionH>
                <wp:positionV relativeFrom="paragraph">
                  <wp:posOffset>622300</wp:posOffset>
                </wp:positionV>
                <wp:extent cx="2045335" cy="5854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9.549999999999997pt;margin-top:49.pt;width:161.05000000000001pt;height:46.100000000000001pt;z-index:-125829374;mso-wrap-distance-left:32.049999999999997pt;mso-wrap-distance-top:48.pt;mso-wrap-distance-right:27.949999999999999pt;mso-wrap-distance-bottom:124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322705" distB="0" distL="114300" distR="114300" simplePos="0" relativeHeight="125829381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1335405</wp:posOffset>
                </wp:positionV>
                <wp:extent cx="2578735" cy="14478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447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8.12,2023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54035/23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5pt;margin-top:105.15000000000001pt;width:203.05000000000001pt;height:114.pt;z-index:-125829372;mso-wrap-distance-left:9.pt;mso-wrap-distance-top:104.15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8.12,2023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54035/23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711200</wp:posOffset>
            </wp:positionH>
            <wp:positionV relativeFrom="paragraph">
              <wp:posOffset>9638030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«Служба мониторинга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технического контроля» Москомспорта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1рзт1к@41к8.то8.ги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«Мосгорспорт»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хакнрИ@то8дог8ро11.ги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«Исследовательская компания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Эксплоро»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тГо@ехр1ого.ги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№077/06/106-17872/2023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ГБУ «Мосгорспорт»,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«Исследовательская компания Эксплоро», ГКУ «Служба мониторинга и технического контроля» Москомспорта,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«Исследовательская компания Эксплоро» (далее — Заявитель) на действия ГБУ «Московская дирекция по развитию массового спорта» Департамента спорта города Москвы (далее — Заказчик) при проведении открытого конкурса в электронной форме на право заключения государственного контракта на оказание услуг по организации и проведению массового культурно</w:t>
        <w:softHyphen/>
        <w:t xml:space="preserve">просветительского мероприятия «Зимний сезон «Мой спортивный район» (январь-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март) (Закупка №0373200068623000922) (далее —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закупки по показателю «Наличие у участников закупки опыта поставки товара»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 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п.4 ч.2 ст.42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2023-61454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Абз.1 п.1 Постановления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Постановление №2604)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абз.1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п.25 Положения для оценки заявок по показателям оценки, предусмотренным п.24 Положения, применяются детализирующие показатели.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п.28 Положения в случае применения показателя оценки, предусмотренного подпунктом «в» п.24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66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пп.«в» п.28 Положения в случае применения показателя оценки, предусмотренного подпунктом «в»</w:t>
        <w:tab/>
        <w:t>п.24 Положения, документом,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предусмотренным приложением №1 к Положению (далее — Порядок оценки):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4" w:val="left"/>
        </w:tabs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2023-61454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составленные при исполнении такого договора (договоров);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 в том числе следующий порядок оценки заявок по показателю «Наличие у участников закупки опыта поставки товара»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Оценивается предложение участника об общей цене исполненных участником закупки контрактов (договоров) /общем количестве исполненных участником закупки контрактов (договоров) /наибольшей цене одного из исполненных 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суммарный объем выполненных работ (оказанных услуг) по исполненным участником закупки контрактам (договорам), исчисляемый в рублях / суммарное количество исполненных участником закупки контрактов (договоров) / наибольший объем выполненных работ (оказанных услуг) одного из исполненных участником закупки контрактов (договоров), исчисляемый в рублях, связанных с предметом контракта, заключаемого по результатам проведения закупки).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оценки заявок участников закупки по показателю «Наличие у участников закупки опыта работы, связанного с предметом контракта» применяются следующие детализирующие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  <w:tab w:pos="1439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работами (услугами), связанными с предметом контракта, заключаемого по результатам проведения закупки, понимаются работы (услуги):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организации и (или) проведению массовых мероприятий, конференций, конкурсов, разработке условий для проведения мероприятий.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каждого детализирующего показателя устанавливается значимость детализирующего показателя. Сумма величин значимости всех применяемых детализирующих показателей по показателю оценки составляет 100 процентов.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23" w:right="542" w:bottom="731" w:left="109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а также документ,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2023-61454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подтверждающий оплату по представленным договорам.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принимается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 и документов, подтверждающих оплату по представленным договорам).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аакирк1.доч.ги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наименование участника опыта работы, связанного с предметом контракта»,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«о наличии у наименование участника опыта работы, связанного с предметом контракта» приведена в Приложении № 1 «Сводные сведения о наличии у наименование участника опыта работы, связанного с предметом контракта» к настоящим критериям оценки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 либо информацией, размещенной на сайте Единой информационной системы в сфере закупок макиркидоч.ги».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положениях порядка оценки Заказчиком неправомерно установлено условие о необходимости предоставления документов, подтверждающий оплату по представленным участником закупки договорам, что не предусмотрено требованиями Положения.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необходимость предоставления документов, подтверждающих оплату по представляемым договорам (контрактам), обусловлена необходимостью подтверждения подлинности таких договор и контрактов.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отметил, что установление спорного положения не противоречит нормам Положения.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оспариваемые положения порядка оценки по своей сути указывают лишь на необходимость предоставления дополнительного документа, подтверждающего наличие у участников закупки опыта исполнения контрактов (договоров), а также фактическое исполнение таким участником закупки обязательств по договору (контракту), ввиду чего, с учетом установления в порядке оценки положений о необходимости представления копий исполненных контрактов и актов выполненных услуг (работ), оспариваемое условие не может свидетельствовать о нарушении Заказчиком положений Закона о контрактной системе и норм Положения в силу абз.3 пп.«в» п.28 Положения, где указано, что порядком оценки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при этом перечисление документов, подтверждающих наличие у участника опыта исполнения контрактов (договоров) с использованием формулировки «в том числе» свидетельствует о возможности Заказчика, помимо определенных Положением документов, подтверждающих наличие у участника закупки опыта исполнения контрактов (договоров), также установить требование о необходимости предоставления дополнительных документов.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вместе с тем в заседании Комиссии Управления Заявитель участия не принимал, кроме того в составе жалобы Заявителем не представлено документов и сведений, свидетельствующих о нарушении Заказчиком норм действующего законодательства о контрактной системе при формировании вышеуказанного порядка оценки, в частности не представлена информация, подтверждающая, что права и интересы Заявителя нарушены действиями Заказчика, ввиду чего у Комиссии Управления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отсутствуют правовые основания для признания Заказчика нарушившим требования Положения,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«Исследовательская компания Эксплоро» на действия ГБУ «Мосгорспорт»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085" w:left="109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03835" distL="0" distR="0" simplePos="0" relativeHeight="125829384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200000000000003pt;margin-top:11.pt;width:149.30000000000001pt;height:19.699999999999999pt;z-index:-125829369;mso-wrap-distance-left:0;mso-wrap-distance-top:1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1140" distB="0" distL="0" distR="1807210" simplePos="0" relativeHeight="125829386" behindDoc="0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231140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3515360</wp:posOffset>
                </wp:positionH>
                <wp:positionV relativeFrom="paragraph">
                  <wp:posOffset>300990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6.80000000000001pt;margin-top:23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03835" distL="0" distR="0" simplePos="0" relativeHeight="125829387" behindDoc="0" locked="0" layoutInCell="1" allowOverlap="1">
                <wp:simplePos x="0" y="0"/>
                <wp:positionH relativeFrom="page">
                  <wp:posOffset>6029960</wp:posOffset>
                </wp:positionH>
                <wp:positionV relativeFrom="paragraph">
                  <wp:posOffset>139700</wp:posOffset>
                </wp:positionV>
                <wp:extent cx="11823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4.80000000000001pt;margin-top:11.pt;width:93.100000000000009pt;height:19.699999999999999pt;z-index:-125829366;mso-wrap-distance-left:0;mso-wrap-distance-top:1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00Е9СРАА6ОО6САО20О424А9502ЕС296Е8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22.12.2022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5819775</wp:posOffset>
                </wp:positionH>
                <wp:positionV relativeFrom="paragraph">
                  <wp:posOffset>266700</wp:posOffset>
                </wp:positionV>
                <wp:extent cx="1386840" cy="25273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68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58.25pt;margin-top:21.pt;width:109.2pt;height:19.900000000000002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91" behindDoc="0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3515360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6.80000000000001pt;margin-top:11.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008926921ЕВ71Е0631А2ЕР19ЕВВ8Е80В4Е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28.03.2023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10292715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5pt;margin-top:810.45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45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450850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85000000000002pt;margin-top:35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3917315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44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19">
    <w:name w:val="Основной текст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18">
    <w:name w:val="Основной текст (2)"/>
    <w:basedOn w:val="Normal"/>
    <w:link w:val="CharStyle19"/>
    <w:pPr>
      <w:widowControl w:val="0"/>
      <w:shd w:val="clear" w:color="auto" w:fill="auto"/>
      <w:spacing w:after="5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100" w:line="218" w:lineRule="auto"/>
      <w:ind w:left="44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