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1"/>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1"/>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460A1"/>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460A1"/>
          <w:spacing w:val="0"/>
          <w:w w:val="100"/>
          <w:position w:val="0"/>
          <w:sz w:val="19"/>
          <w:szCs w:val="19"/>
          <w:shd w:val="clear" w:color="auto" w:fill="auto"/>
          <w:lang w:val="ru-RU" w:eastAsia="ru-RU" w:bidi="ru-RU"/>
        </w:rPr>
        <w:t>Федеральной антимонопольной службы</w:t>
        <w:br/>
        <w:t>по Томской области</w:t>
      </w:r>
    </w:p>
    <w:p>
      <w:pPr>
        <w:pStyle w:val="Style2"/>
        <w:keepNext w:val="0"/>
        <w:keepLines w:val="0"/>
        <w:widowControl w:val="0"/>
        <w:shd w:val="clear" w:color="auto" w:fill="auto"/>
        <w:bidi w:val="0"/>
        <w:spacing w:before="0" w:after="0" w:line="288" w:lineRule="auto"/>
        <w:ind w:left="0" w:right="0" w:firstLine="140"/>
        <w:jc w:val="left"/>
        <w:rPr>
          <w:sz w:val="16"/>
          <w:szCs w:val="16"/>
        </w:rPr>
      </w:pPr>
      <w:r>
        <w:rPr>
          <w:color w:val="4460A1"/>
          <w:spacing w:val="0"/>
          <w:w w:val="100"/>
          <w:position w:val="0"/>
          <w:sz w:val="16"/>
          <w:szCs w:val="16"/>
          <w:shd w:val="clear" w:color="auto" w:fill="auto"/>
          <w:lang w:val="ru-RU" w:eastAsia="ru-RU" w:bidi="ru-RU"/>
        </w:rPr>
        <w:t>Адрес места нахождения: г.Томск, пр-кт. Ленина, 111</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color w:val="4460A1"/>
          <w:spacing w:val="0"/>
          <w:w w:val="100"/>
          <w:position w:val="0"/>
          <w:sz w:val="16"/>
          <w:szCs w:val="16"/>
          <w:shd w:val="clear" w:color="auto" w:fill="auto"/>
          <w:lang w:val="ru-RU" w:eastAsia="ru-RU" w:bidi="ru-RU"/>
        </w:rPr>
        <w:t>Почтовый адрес: 634069, г.Томск, пр-кт. Ленина, 111</w:t>
        <w:br/>
        <w:t>тел. (3822) 51-50-61, факс (3822) 51-29-80</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color w:val="4460A1"/>
          <w:spacing w:val="0"/>
          <w:w w:val="100"/>
          <w:position w:val="0"/>
          <w:sz w:val="16"/>
          <w:szCs w:val="16"/>
          <w:shd w:val="clear" w:color="auto" w:fill="auto"/>
          <w:lang w:val="ru-RU" w:eastAsia="ru-RU" w:bidi="ru-RU"/>
        </w:rPr>
        <w:t>е-тай: 1о70@(а8.§оу.п1</w:t>
      </w:r>
    </w:p>
    <w:p>
      <w:pPr>
        <w:pStyle w:val="Style11"/>
        <w:keepNext/>
        <w:keepLines/>
        <w:widowControl w:val="0"/>
        <w:shd w:val="clear" w:color="auto" w:fill="auto"/>
        <w:tabs>
          <w:tab w:pos="1954" w:val="left"/>
        </w:tabs>
        <w:bidi w:val="0"/>
        <w:spacing w:before="0" w:line="240" w:lineRule="auto"/>
        <w:ind w:left="0" w:right="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АА/7780/2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620" w:line="266" w:lineRule="auto"/>
        <w:ind w:left="0" w:right="0" w:firstLine="0"/>
        <w:jc w:val="left"/>
        <w:rPr>
          <w:sz w:val="18"/>
          <w:szCs w:val="18"/>
        </w:rPr>
      </w:pPr>
      <w:r>
        <w:rPr>
          <w:color w:val="4460A1"/>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 делу №070/06/106-1089/2023</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634050, г. Томск, Московский тракт, 2 ир^.р^аVО@88ти.^и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 Тараса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д. 23А, 25 этаж, помещение 1</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ко@г18-1епдег.ги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"ЙОТТА-ФАРМ"</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690090, Приморский край, г.</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Владивосток, ул. Алеутская, д. 11, оф. 1027</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795" w:bottom="1217" w:left="1140" w:header="0" w:footer="3" w:gutter="0"/>
          <w:pgNumType w:start="1"/>
          <w:cols w:num="2" w:space="720" w:equalWidth="0">
            <w:col w:w="4214" w:space="1051"/>
            <w:col w:w="4699"/>
          </w:cols>
          <w:noEndnote/>
          <w:titlePg/>
          <w:rtlGutter w:val="0"/>
          <w:docGrid w:linePitch="360"/>
        </w:sectPr>
      </w:pPr>
      <w:r>
        <w:rPr>
          <w:color w:val="000000"/>
          <w:spacing w:val="0"/>
          <w:w w:val="100"/>
          <w:position w:val="0"/>
          <w:shd w:val="clear" w:color="auto" w:fill="auto"/>
          <w:lang w:val="ru-RU" w:eastAsia="ru-RU" w:bidi="ru-RU"/>
        </w:rPr>
        <w:t>о.^VапоVа@уойа-рка^т .ги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50" w:right="0" w:bottom="729"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№070/06/106-1089/2023</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результатам рассмотрения жалобы о нарушении</w:t>
        <w:br/>
        <w:t>законодательства Российской Федерации</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о контрактной системе в сфере закупок</w:t>
      </w:r>
    </w:p>
    <w:p>
      <w:pPr>
        <w:pStyle w:val="Style16"/>
        <w:keepNext w:val="0"/>
        <w:keepLines w:val="0"/>
        <w:widowControl w:val="0"/>
        <w:shd w:val="clear" w:color="auto" w:fill="auto"/>
        <w:tabs>
          <w:tab w:pos="8347" w:val="left"/>
        </w:tabs>
        <w:bidi w:val="0"/>
        <w:spacing w:before="0" w:after="280" w:line="240" w:lineRule="auto"/>
        <w:ind w:left="0" w:right="0" w:firstLine="0"/>
        <w:jc w:val="left"/>
      </w:pPr>
      <w:r>
        <w:rPr>
          <w:color w:val="000000"/>
          <w:spacing w:val="0"/>
          <w:w w:val="100"/>
          <w:position w:val="0"/>
          <w:shd w:val="clear" w:color="auto" w:fill="auto"/>
          <w:lang w:val="ru-RU" w:eastAsia="ru-RU" w:bidi="ru-RU"/>
        </w:rPr>
        <w:t>05.12.2023</w:t>
        <w:tab/>
        <w:t>г. Томск</w:t>
      </w:r>
    </w:p>
    <w:p>
      <w:pPr>
        <w:pStyle w:val="Style16"/>
        <w:keepNext w:val="0"/>
        <w:keepLines w:val="0"/>
        <w:widowControl w:val="0"/>
        <w:shd w:val="clear" w:color="auto" w:fill="auto"/>
        <w:bidi w:val="0"/>
        <w:spacing w:before="0" w:after="0" w:line="240" w:lineRule="auto"/>
        <w:ind w:left="0" w:right="0" w:firstLine="12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Абдурахманова А.Ф. - заместителя руководителя Управления; членов комиссии:</w:t>
      </w:r>
    </w:p>
    <w:p>
      <w:pPr>
        <w:pStyle w:val="Style16"/>
        <w:keepNext w:val="0"/>
        <w:keepLines w:val="0"/>
        <w:widowControl w:val="0"/>
        <w:shd w:val="clear" w:color="auto" w:fill="auto"/>
        <w:tabs>
          <w:tab w:pos="2837" w:val="left"/>
        </w:tabs>
        <w:bidi w:val="0"/>
        <w:spacing w:before="0" w:after="340" w:line="240" w:lineRule="auto"/>
        <w:ind w:left="0" w:right="0" w:firstLine="0"/>
        <w:jc w:val="left"/>
      </w:pPr>
      <w:r>
        <w:rPr>
          <w:color w:val="000000"/>
          <w:spacing w:val="0"/>
          <w:w w:val="100"/>
          <w:position w:val="0"/>
          <w:shd w:val="clear" w:color="auto" w:fill="auto"/>
          <w:lang w:val="ru-RU" w:eastAsia="ru-RU" w:bidi="ru-RU"/>
        </w:rPr>
        <w:t>Кобзевой М.А.,</w:t>
        <w:tab/>
        <w:t>- ведущего специалиста-эксперта отдела контроля</w:t>
      </w:r>
    </w:p>
    <w:p>
      <w:pPr>
        <w:pStyle w:val="Style18"/>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0" w:line="240" w:lineRule="auto"/>
        <w:ind w:left="2940" w:right="0" w:firstLine="0"/>
        <w:jc w:val="both"/>
      </w:pPr>
      <w:r>
        <w:rPr>
          <w:color w:val="000000"/>
          <w:spacing w:val="0"/>
          <w:w w:val="100"/>
          <w:position w:val="0"/>
          <w:shd w:val="clear" w:color="auto" w:fill="auto"/>
          <w:lang w:val="ru-RU" w:eastAsia="ru-RU" w:bidi="ru-RU"/>
        </w:rPr>
        <w:t>органов власти и торгов</w:t>
      </w:r>
    </w:p>
    <w:p>
      <w:pPr>
        <w:pStyle w:val="Style16"/>
        <w:keepNext w:val="0"/>
        <w:keepLines w:val="0"/>
        <w:widowControl w:val="0"/>
        <w:shd w:val="clear" w:color="auto" w:fill="auto"/>
        <w:tabs>
          <w:tab w:pos="2832" w:val="left"/>
        </w:tabs>
        <w:bidi w:val="0"/>
        <w:spacing w:before="0" w:after="0" w:line="240" w:lineRule="auto"/>
        <w:ind w:left="0" w:right="0" w:firstLine="0"/>
        <w:jc w:val="both"/>
      </w:pPr>
      <w:r>
        <w:rPr>
          <w:color w:val="000000"/>
          <w:spacing w:val="0"/>
          <w:w w:val="100"/>
          <w:position w:val="0"/>
          <w:shd w:val="clear" w:color="auto" w:fill="auto"/>
          <w:lang w:val="ru-RU" w:eastAsia="ru-RU" w:bidi="ru-RU"/>
        </w:rPr>
        <w:t>Крыловой К.С.,</w:t>
        <w:tab/>
        <w:t>- специалиста 1 разряда отдела контроля органов</w:t>
      </w:r>
    </w:p>
    <w:p>
      <w:pPr>
        <w:pStyle w:val="Style16"/>
        <w:keepNext w:val="0"/>
        <w:keepLines w:val="0"/>
        <w:widowControl w:val="0"/>
        <w:shd w:val="clear" w:color="auto" w:fill="auto"/>
        <w:bidi w:val="0"/>
        <w:spacing w:before="0" w:after="0" w:line="240" w:lineRule="auto"/>
        <w:ind w:left="2940" w:right="0" w:firstLine="0"/>
        <w:jc w:val="both"/>
      </w:pPr>
      <w:r>
        <w:rPr>
          <w:color w:val="000000"/>
          <w:spacing w:val="0"/>
          <w:w w:val="100"/>
          <w:position w:val="0"/>
          <w:shd w:val="clear" w:color="auto" w:fill="auto"/>
          <w:lang w:val="ru-RU" w:eastAsia="ru-RU" w:bidi="ru-RU"/>
        </w:rPr>
        <w:t>власти и торгов,</w:t>
      </w:r>
    </w:p>
    <w:p>
      <w:pPr>
        <w:pStyle w:val="Style1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рассмотрев жалобу ООО «Йотта-фарм» (далее - Заявитель) на действия 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 (далее - Заказчик) при осуществлении закупки в форме электронного аукциона «Препараты лекарственные, реактивы, реагенты, изделия медицинского назначения: Левофлоксацин» (извещение № 0365100014823000728 ), (далее - аукцион), и проведя внеплановую проверку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16"/>
        <w:keepNext w:val="0"/>
        <w:keepLines w:val="0"/>
        <w:widowControl w:val="0"/>
        <w:shd w:val="clear" w:color="auto" w:fill="auto"/>
        <w:bidi w:val="0"/>
        <w:spacing w:before="0" w:after="280" w:line="240" w:lineRule="auto"/>
        <w:ind w:left="0" w:right="0" w:firstLine="780"/>
        <w:jc w:val="both"/>
      </w:pPr>
      <w:r>
        <w:rPr>
          <w:color w:val="000000"/>
          <w:spacing w:val="0"/>
          <w:w w:val="100"/>
          <w:position w:val="0"/>
          <w:shd w:val="clear" w:color="auto" w:fill="auto"/>
          <w:lang w:val="ru-RU" w:eastAsia="ru-RU" w:bidi="ru-RU"/>
        </w:rPr>
        <w:t>при участии посредством ВКС представителя Заказчика - Филипенко М.Н. (доверенность № 556 от 08.12.2023), Заявитель надлежащим образом уведомлен о месте и времени рассмотрении материалов дела явку не обеспечил, представителя не направил,</w:t>
      </w:r>
    </w:p>
    <w:p>
      <w:pPr>
        <w:pStyle w:val="Style16"/>
        <w:keepNext w:val="0"/>
        <w:keepLines w:val="0"/>
        <w:widowControl w:val="0"/>
        <w:shd w:val="clear" w:color="auto" w:fill="auto"/>
        <w:bidi w:val="0"/>
        <w:spacing w:before="0" w:after="4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Томское УФАС России обратился Заявитель с жалобой, поданной в срок и соответствующей статье 105 Закона 44-ФЗ на действия Заказчика при осуществлении закупки в форме электронного аукциона «Препараты лекарственные, реактивы, реагенты, изделия медицинского назначения: Левофлоксацин» (извещение № 0365100014823000728),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Заявитель полагает, что нормы Федерального закона от 05.04.2013 г. № 44- 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 в части неприменения при определении победителя закупки положений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а именно наличия совокупности условий для признания Подателя жалобы победителем аукциона.</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Представители Заказчика в письменных пояснениях с доводами, изложенными в жалобе, не согласны, просят признать жалобу необоснованной.</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Заявитель просит признать жалобу обоснованной.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 проведении закупки размещено на Официальном сайте единой информационной системы в сфере закупок в информационно</w:t>
        <w:softHyphen/>
        <w:t>телекоммуникационной сети Интернет (далее - Официальный сайт, ЕИС) 14.11.2023.</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255 000,00 руб.</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«Препараты лекарственные, реактивы, реагенты, изделия медицинского назначения: Левофлоксацин».</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участие в закупке подано 5 заявок.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Томского УФАС России изучив доводы жалобы, пояснения Заказчика, сведения ЕИС, проанализировав материалы дела в совокупности, установила следующее: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 15 ч. 1 ст. 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установлены следующие требования:</w:t>
      </w:r>
    </w:p>
    <w:p>
      <w:pPr>
        <w:pStyle w:val="Style16"/>
        <w:keepNext w:val="0"/>
        <w:keepLines w:val="0"/>
        <w:widowControl w:val="0"/>
        <w:shd w:val="clear" w:color="auto" w:fill="auto"/>
        <w:bidi w:val="0"/>
        <w:spacing w:before="0" w:after="0" w:line="240" w:lineRule="auto"/>
        <w:ind w:left="1080" w:right="0" w:hanging="340"/>
        <w:jc w:val="both"/>
      </w:pPr>
      <w:r>
        <w:rPr>
          <w:color w:val="000000"/>
          <w:spacing w:val="0"/>
          <w:w w:val="100"/>
          <w:position w:val="0"/>
          <w:shd w:val="clear" w:color="auto" w:fill="auto"/>
          <w:lang w:val="ru-RU" w:eastAsia="ru-RU" w:bidi="ru-RU"/>
        </w:rPr>
        <w:t>1) 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16"/>
        <w:keepNext w:val="0"/>
        <w:keepLines w:val="0"/>
        <w:widowControl w:val="0"/>
        <w:shd w:val="clear" w:color="auto" w:fill="auto"/>
        <w:bidi w:val="0"/>
        <w:spacing w:before="0" w:after="0" w:line="240" w:lineRule="auto"/>
        <w:ind w:left="1080" w:right="0" w:hanging="340"/>
        <w:jc w:val="both"/>
      </w:pPr>
      <w:r>
        <w:rPr>
          <w:color w:val="000000"/>
          <w:spacing w:val="0"/>
          <w:w w:val="100"/>
          <w:position w:val="0"/>
          <w:shd w:val="clear" w:color="auto" w:fill="auto"/>
          <w:lang w:val="ru-RU" w:eastAsia="ru-RU" w:bidi="ru-RU"/>
        </w:rPr>
        <w:t>2) Ограничение допуска и условия допуска: Постановление Правительства РФ от 30.11.2015 К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6"/>
        <w:keepNext w:val="0"/>
        <w:keepLines w:val="0"/>
        <w:widowControl w:val="0"/>
        <w:numPr>
          <w:ilvl w:val="0"/>
          <w:numId w:val="1"/>
        </w:numPr>
        <w:shd w:val="clear" w:color="auto" w:fill="auto"/>
        <w:tabs>
          <w:tab w:pos="93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6"/>
        <w:keepNext w:val="0"/>
        <w:keepLines w:val="0"/>
        <w:widowControl w:val="0"/>
        <w:numPr>
          <w:ilvl w:val="0"/>
          <w:numId w:val="3"/>
        </w:numPr>
        <w:shd w:val="clear" w:color="auto" w:fill="auto"/>
        <w:tabs>
          <w:tab w:pos="92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6"/>
        <w:keepNext w:val="0"/>
        <w:keepLines w:val="0"/>
        <w:widowControl w:val="0"/>
        <w:numPr>
          <w:ilvl w:val="0"/>
          <w:numId w:val="3"/>
        </w:numPr>
        <w:shd w:val="clear" w:color="auto" w:fill="auto"/>
        <w:tabs>
          <w:tab w:pos="92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6"/>
        <w:keepNext w:val="0"/>
        <w:keepLines w:val="0"/>
        <w:widowControl w:val="0"/>
        <w:numPr>
          <w:ilvl w:val="0"/>
          <w:numId w:val="1"/>
        </w:numPr>
        <w:shd w:val="clear" w:color="auto" w:fill="auto"/>
        <w:tabs>
          <w:tab w:pos="92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24.11.2023 №ИЭА1 на участие в закупке подано 5 заявок.</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Победителем был признан участник с заявкой под идентификационным номером № 115389004, в составе заявки которого продекларирован товар страной происхождения, которого является Российская Федерация, также в составе заявки приложено регистрационное удостоверение лекарственного препарата для медицинского применения ЛП-006937 и сертификат о происхождении товара по форме СТ-1 в котором указано, что он выдан в Российской Федерации для предоставления в Российскую Федерацию грузоотправитель/ экспортер ОАО "Эском" и цена предложения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 1 ПП РФ №1289.</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При рассмотрении заявок аукционной комиссией заявка под идентификационным номером № 115391962 была отклонена, со следующим </w:t>
      </w:r>
      <w:r>
        <w:rPr>
          <w:color w:val="000000"/>
          <w:spacing w:val="0"/>
          <w:w w:val="100"/>
          <w:position w:val="0"/>
          <w:shd w:val="clear" w:color="auto" w:fill="auto"/>
          <w:lang w:val="ru-RU" w:eastAsia="ru-RU" w:bidi="ru-RU"/>
        </w:rPr>
        <w:t>обоснованием отклонения: «Несоответствие требованиям нормативных правовых актов, принятых в соответствии с ст. 14 Закона № 44-ФЗ (Отклонение по п. 4 ч. 12 ст. 48 Закона № 44-ФЗ). В извещении о проведении электронного аукциона Заказчиком установлены ограничения допуска согласно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Таким образом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1(1)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подпунктом 1(2) Постановления Правительства РФ от 30.11.2015 № 1289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w:t>
      </w:r>
      <w:r>
        <w:rPr>
          <w:color w:val="000000"/>
          <w:spacing w:val="0"/>
          <w:w w:val="100"/>
          <w:position w:val="0"/>
          <w:shd w:val="clear" w:color="auto" w:fill="auto"/>
          <w:lang w:val="ru-RU" w:eastAsia="ru-RU" w:bidi="ru-RU"/>
        </w:rPr>
        <w:t>экономической комиссии от 3 ноября 2016 г. К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рамках рассмотрения жалобы Комиссией Томского УФАС у Заявителя было запрошено СП-0002103/03/2023, выданного ОАО НПК Эском (декларируемые победителем аукциона сведения), исследуемый Заявителем в жалобе. Заявителем запрошенные документы направлены не были.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этом Заявитель на заседание Комиссии не явился, доказательств, подтверждающих обоснованность довода, не представил, в связи с чем Комиссии не представляется возможным прийти к выводу об обоснованности довода Заявителя.</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Жалоба не обоснована.</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16"/>
        <w:keepNext w:val="0"/>
        <w:keepLines w:val="0"/>
        <w:widowControl w:val="0"/>
        <w:shd w:val="clear" w:color="auto" w:fill="auto"/>
        <w:bidi w:val="0"/>
        <w:spacing w:before="0" w:after="0" w:line="240" w:lineRule="auto"/>
        <w:ind w:left="0" w:right="0" w:firstLine="560"/>
        <w:jc w:val="both"/>
        <w:sectPr>
          <w:footnotePr>
            <w:pos w:val="pageBottom"/>
            <w:numFmt w:val="decimal"/>
            <w:numRestart w:val="continuous"/>
          </w:footnotePr>
          <w:type w:val="continuous"/>
          <w:pgSz w:w="11900" w:h="16840"/>
          <w:pgMar w:top="750" w:right="539" w:bottom="729" w:left="1051" w:header="0" w:footer="3" w:gutter="0"/>
          <w:cols w:space="720"/>
          <w:noEndnote/>
          <w:rtlGutter w:val="0"/>
          <w:docGrid w:linePitch="360"/>
        </w:sectPr>
      </w:pPr>
      <w:r>
        <w:rPr>
          <w:color w:val="000000"/>
          <w:spacing w:val="0"/>
          <w:w w:val="100"/>
          <w:position w:val="0"/>
          <w:shd w:val="clear" w:color="auto" w:fill="auto"/>
          <w:lang w:val="ru-RU" w:eastAsia="ru-RU" w:bidi="ru-RU"/>
        </w:rPr>
        <w:t>В силу пп. "б"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пп. 5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16"/>
        <w:keepNext w:val="0"/>
        <w:keepLines w:val="0"/>
        <w:widowControl w:val="0"/>
        <w:numPr>
          <w:ilvl w:val="0"/>
          <w:numId w:val="5"/>
        </w:numPr>
        <w:shd w:val="clear" w:color="auto" w:fill="auto"/>
        <w:tabs>
          <w:tab w:pos="88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6"/>
        <w:keepNext w:val="0"/>
        <w:keepLines w:val="0"/>
        <w:widowControl w:val="0"/>
        <w:numPr>
          <w:ilvl w:val="0"/>
          <w:numId w:val="5"/>
        </w:numPr>
        <w:shd w:val="clear" w:color="auto" w:fill="auto"/>
        <w:tabs>
          <w:tab w:pos="903"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К 719 "О подтверждении производства промышленной продукции на территории Российской Федерации";</w:t>
      </w:r>
    </w:p>
    <w:p>
      <w:pPr>
        <w:pStyle w:val="Style16"/>
        <w:keepNext w:val="0"/>
        <w:keepLines w:val="0"/>
        <w:widowControl w:val="0"/>
        <w:numPr>
          <w:ilvl w:val="0"/>
          <w:numId w:val="5"/>
        </w:numPr>
        <w:shd w:val="clear" w:color="auto" w:fill="auto"/>
        <w:tabs>
          <w:tab w:pos="889"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6"/>
        <w:keepNext w:val="0"/>
        <w:keepLines w:val="0"/>
        <w:widowControl w:val="0"/>
        <w:shd w:val="clear" w:color="auto" w:fill="auto"/>
        <w:bidi w:val="0"/>
        <w:spacing w:before="0" w:after="0" w:line="262" w:lineRule="auto"/>
        <w:ind w:left="0" w:right="0" w:firstLine="560"/>
        <w:jc w:val="both"/>
        <w:rPr>
          <w:sz w:val="24"/>
          <w:szCs w:val="24"/>
        </w:rPr>
        <w:sectPr>
          <w:headerReference w:type="default" r:id="rId9"/>
          <w:footerReference w:type="default" r:id="rId10"/>
          <w:footnotePr>
            <w:pos w:val="pageBottom"/>
            <w:numFmt w:val="decimal"/>
            <w:numRestart w:val="continuous"/>
          </w:footnotePr>
          <w:pgSz w:w="11900" w:h="16840"/>
          <w:pgMar w:top="1666" w:right="541" w:bottom="812" w:left="1106" w:header="0" w:footer="38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подпункту 1(1)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w:t>
      </w:r>
      <w:r>
        <w:rPr>
          <w:color w:val="000000"/>
          <w:spacing w:val="0"/>
          <w:w w:val="100"/>
          <w:position w:val="0"/>
          <w:sz w:val="24"/>
          <w:szCs w:val="24"/>
          <w:shd w:val="clear" w:color="auto" w:fill="auto"/>
          <w:lang w:val="ru-RU" w:eastAsia="ru-RU" w:bidi="ru-RU"/>
        </w:rPr>
        <w:t>2023-9874</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1.4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случае отклонения заявок в соответствии с пунктом 1 постановления Правительства Российской Федерации от 30 ноября 2015 г. К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К 49, ст. 6981) (далее - Постановление К 1289), контракт заключается с участником закупки по предложенной им цене контракта при совокупности следующих условий:</w:t>
      </w:r>
    </w:p>
    <w:p>
      <w:pPr>
        <w:pStyle w:val="Style16"/>
        <w:keepNext w:val="0"/>
        <w:keepLines w:val="0"/>
        <w:widowControl w:val="0"/>
        <w:numPr>
          <w:ilvl w:val="0"/>
          <w:numId w:val="7"/>
        </w:numPr>
        <w:shd w:val="clear" w:color="auto" w:fill="auto"/>
        <w:tabs>
          <w:tab w:pos="99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6"/>
        <w:keepNext w:val="0"/>
        <w:keepLines w:val="0"/>
        <w:widowControl w:val="0"/>
        <w:numPr>
          <w:ilvl w:val="0"/>
          <w:numId w:val="7"/>
        </w:numPr>
        <w:shd w:val="clear" w:color="auto" w:fill="auto"/>
        <w:tabs>
          <w:tab w:pos="99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Федеральным законом предусмотрена документация о закупке);</w:t>
      </w:r>
    </w:p>
    <w:p>
      <w:pPr>
        <w:pStyle w:val="Style16"/>
        <w:keepNext w:val="0"/>
        <w:keepLines w:val="0"/>
        <w:widowControl w:val="0"/>
        <w:numPr>
          <w:ilvl w:val="0"/>
          <w:numId w:val="7"/>
        </w:numPr>
        <w:shd w:val="clear" w:color="auto" w:fill="auto"/>
        <w:tabs>
          <w:tab w:pos="99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К 1289 и при этом соответствуют совокупности условий, указанных в подпунктах "а" и "б" настоящего подпункта;</w:t>
      </w:r>
    </w:p>
    <w:p>
      <w:pPr>
        <w:pStyle w:val="Style16"/>
        <w:keepNext w:val="0"/>
        <w:keepLines w:val="0"/>
        <w:widowControl w:val="0"/>
        <w:numPr>
          <w:ilvl w:val="0"/>
          <w:numId w:val="7"/>
        </w:numPr>
        <w:shd w:val="clear" w:color="auto" w:fill="auto"/>
        <w:tabs>
          <w:tab w:pos="99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К 1289, но не соответствует условию, указанному в подпункте "а" настоящего подпункта.</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подтверждением соответствия лекарственного препарата требованиям документации и постановления № 1289 является один из документов, предусмотренных п. 2 постановления № 1289, подтверждением фармацевтической субстанции требованиям, указанным в п. 1(1) постановления № 1289 и пп. "а" п. 1.4 приказа К 126н, являются декларирование участником закупки в заявке (окончательном предложении) сведений о документе (ОМР),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а также сведений о документе (СП), содержащем сведения о стадиях технологического процесса производства лекарственного средства для медицинского применения.</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Комиссией Управления установлено, что в заявке победителя аукциона также отсутствуют сведения о документе (ОМР),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w:t>
      </w:r>
    </w:p>
    <w:p>
      <w:pPr>
        <w:pStyle w:val="Style1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при отсутствии в составе заявки документа ОМР у комиссии заказчика не имелось оснований для применения к победителю аукциона пункта 1.4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поскольку она не соответствовала совокупности требований указанных в поименованном пункте Приказа.</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результатам проведения внеплановой проверки, Комиссия Управления приходит к выводу о наличии в действиях аукционной комиссии Заказчика нарушении пп. "б" п. 1 ч. 5 ст. 49 Закона о контрактной системе.</w:t>
      </w:r>
    </w:p>
    <w:p>
      <w:pPr>
        <w:pStyle w:val="Style16"/>
        <w:keepNext w:val="0"/>
        <w:keepLines w:val="0"/>
        <w:widowControl w:val="0"/>
        <w:shd w:val="clear" w:color="auto" w:fill="auto"/>
        <w:bidi w:val="0"/>
        <w:spacing w:before="0" w:after="260" w:line="252" w:lineRule="auto"/>
        <w:ind w:left="0" w:right="0" w:firstLine="560"/>
        <w:jc w:val="both"/>
      </w:pPr>
      <w:r>
        <w:rPr>
          <w:color w:val="000000"/>
          <w:spacing w:val="0"/>
          <w:w w:val="100"/>
          <w:position w:val="0"/>
          <w:shd w:val="clear" w:color="auto" w:fill="auto"/>
          <w:lang w:val="ru-RU" w:eastAsia="ru-RU" w:bidi="ru-RU"/>
        </w:rPr>
        <w:t xml:space="preserve">Исследовав представленные материалы, руководствуясь </w:t>
      </w:r>
      <w:r>
        <w:rPr>
          <w:color w:val="000000"/>
          <w:spacing w:val="0"/>
          <w:w w:val="100"/>
          <w:position w:val="0"/>
          <w:sz w:val="26"/>
          <w:szCs w:val="26"/>
          <w:shd w:val="clear" w:color="auto" w:fill="auto"/>
          <w:lang w:val="ru-RU" w:eastAsia="ru-RU" w:bidi="ru-RU"/>
        </w:rPr>
        <w:t>статьей 49, статьей 105, статьей 106 Закона 44-ФЗ, Комиссия Томского УФАС России</w:t>
      </w:r>
      <w:r>
        <w:rPr>
          <w:color w:val="000000"/>
          <w:spacing w:val="0"/>
          <w:w w:val="100"/>
          <w:position w:val="0"/>
          <w:shd w:val="clear" w:color="auto" w:fill="auto"/>
          <w:lang w:val="ru-RU" w:eastAsia="ru-RU" w:bidi="ru-RU"/>
        </w:rPr>
        <w:t>, Комиссия Управления</w:t>
      </w:r>
    </w:p>
    <w:p>
      <w:pPr>
        <w:pStyle w:val="Style16"/>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numPr>
          <w:ilvl w:val="0"/>
          <w:numId w:val="9"/>
        </w:numPr>
        <w:shd w:val="clear" w:color="auto" w:fill="auto"/>
        <w:tabs>
          <w:tab w:pos="9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Признать жалобу ООО «Йотта-фарм» (далее - Заявитель) на действия 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 (далее - Заказчик) при осуществлении закупки в форме электронного аукциона «Препараты лекарственные, реактивы, реагенты, изделия медицинского назначения: Левофлоксацин» (извещение № 0365100014823000728 ) необоснованной.</w:t>
      </w:r>
      <w:r>
        <w:br w:type="page"/>
      </w:r>
    </w:p>
    <w:p>
      <w:pPr>
        <w:pStyle w:val="Style16"/>
        <w:keepNext w:val="0"/>
        <w:keepLines w:val="0"/>
        <w:widowControl w:val="0"/>
        <w:numPr>
          <w:ilvl w:val="0"/>
          <w:numId w:val="9"/>
        </w:numPr>
        <w:shd w:val="clear" w:color="auto" w:fill="auto"/>
        <w:tabs>
          <w:tab w:pos="92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Признать в действиях Аукционной комиссии, выявленное в ходе внеплановой проверки, нарушение пп. "б" п. 1 ч. 5 ст. 49 Закона о закупках.</w:t>
      </w:r>
    </w:p>
    <w:p>
      <w:pPr>
        <w:pStyle w:val="Style16"/>
        <w:keepNext w:val="0"/>
        <w:keepLines w:val="0"/>
        <w:widowControl w:val="0"/>
        <w:numPr>
          <w:ilvl w:val="0"/>
          <w:numId w:val="9"/>
        </w:numPr>
        <w:shd w:val="clear" w:color="auto" w:fill="auto"/>
        <w:tabs>
          <w:tab w:pos="930" w:val="left"/>
        </w:tabs>
        <w:bidi w:val="0"/>
        <w:spacing w:before="0" w:after="1220" w:line="240" w:lineRule="auto"/>
        <w:ind w:left="0" w:right="0" w:firstLine="560"/>
        <w:jc w:val="both"/>
      </w:pPr>
      <w:r>
        <w:rPr>
          <w:color w:val="000000"/>
          <w:spacing w:val="0"/>
          <w:w w:val="100"/>
          <w:position w:val="0"/>
          <w:shd w:val="clear" w:color="auto" w:fill="auto"/>
          <w:lang w:val="ru-RU" w:eastAsia="ru-RU" w:bidi="ru-RU"/>
        </w:rPr>
        <w:t>В целях устранения нарушений Заказчику, Аукционной комиссии, Оператору электронной площадки выдать предписание.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1"/>
          <w:footerReference w:type="default" r:id="rId12"/>
          <w:footnotePr>
            <w:pos w:val="pageBottom"/>
            <w:numFmt w:val="decimal"/>
            <w:numRestart w:val="continuous"/>
          </w:footnotePr>
          <w:pgSz w:w="11900" w:h="16840"/>
          <w:pgMar w:top="1666" w:right="541" w:bottom="1292" w:left="1106" w:header="0" w:footer="3" w:gutter="0"/>
          <w:cols w:space="720"/>
          <w:noEndnote/>
          <w:rtlGutter w:val="0"/>
          <w:docGrid w:linePitch="360"/>
        </w:sectPr>
      </w:pPr>
      <w:r>
        <mc:AlternateContent>
          <mc:Choice Requires="wps">
            <w:drawing>
              <wp:anchor distT="508000" distB="292735" distL="0" distR="0" simplePos="0" relativeHeight="125829378" behindDoc="0" locked="0" layoutInCell="1" allowOverlap="1">
                <wp:simplePos x="0" y="0"/>
                <wp:positionH relativeFrom="page">
                  <wp:posOffset>735965</wp:posOffset>
                </wp:positionH>
                <wp:positionV relativeFrom="paragraph">
                  <wp:posOffset>508000</wp:posOffset>
                </wp:positionV>
                <wp:extent cx="1828800" cy="247015"/>
                <wp:wrapTopAndBottom/>
                <wp:docPr id="13" name="Shape 13"/>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7.950000000000003pt;margin-top:40.pt;width:144.pt;height:19.449999999999999pt;z-index:-125829375;mso-wrap-distance-left:0;mso-wrap-distance-top:40.pt;mso-wrap-distance-right:0;mso-wrap-distance-bottom:23.0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684530" distB="635" distL="0" distR="1804670" simplePos="0" relativeHeight="125829380" behindDoc="0" locked="0" layoutInCell="1" allowOverlap="1">
            <wp:simplePos x="0" y="0"/>
            <wp:positionH relativeFrom="page">
              <wp:posOffset>2680335</wp:posOffset>
            </wp:positionH>
            <wp:positionV relativeFrom="paragraph">
              <wp:posOffset>684530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757555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pt;margin-top:59.649999999999999pt;width:135.59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58190" distB="39370" distL="0" distR="0" simplePos="0" relativeHeight="125829381" behindDoc="0" locked="0" layoutInCell="1" allowOverlap="1">
                <wp:simplePos x="0" y="0"/>
                <wp:positionH relativeFrom="page">
                  <wp:posOffset>5655310</wp:posOffset>
                </wp:positionH>
                <wp:positionV relativeFrom="paragraph">
                  <wp:posOffset>758190</wp:posOffset>
                </wp:positionV>
                <wp:extent cx="1530350" cy="250190"/>
                <wp:wrapTopAndBottom/>
                <wp:docPr id="19" name="Shape 19"/>
                <a:graphic xmlns:a="http://schemas.openxmlformats.org/drawingml/2006/main">
                  <a:graphicData uri="http://schemas.microsoft.com/office/word/2010/wordprocessingShape">
                    <wps:wsp>
                      <wps:cNvSpPr txBox="1"/>
                      <wps:spPr>
                        <a:xfrm>
                          <a:ext cx="153035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А.Ф. Абдурахманов</w:t>
                            </w:r>
                          </w:p>
                        </w:txbxContent>
                      </wps:txbx>
                      <wps:bodyPr wrap="none" lIns="0" tIns="0" rIns="0" bIns="0">
                        <a:noAutoFit/>
                      </wps:bodyPr>
                    </wps:wsp>
                  </a:graphicData>
                </a:graphic>
              </wp:anchor>
            </w:drawing>
          </mc:Choice>
          <mc:Fallback>
            <w:pict>
              <v:shape id="_x0000_s1045" type="#_x0000_t202" style="position:absolute;margin-left:445.30000000000001pt;margin-top:59.700000000000003pt;width:120.5pt;height:19.699999999999999pt;z-index:-125829372;mso-wrap-distance-left:0;mso-wrap-distance-top:59.700000000000003pt;mso-wrap-distance-right:0;mso-wrap-distance-bottom:3.10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А.Ф. Абдурахманов</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Абдурахманов Азамат Фархадович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00С755ЕЕ55В155С4ЕЕ8Е81СЕС434А4Е9Е0</w:t>
      </w:r>
    </w:p>
    <w:p>
      <w:pPr>
        <w:pStyle w:val="Style2"/>
        <w:keepNext w:val="0"/>
        <w:keepLines w:val="0"/>
        <w:widowControl w:val="0"/>
        <w:shd w:val="clear" w:color="auto" w:fill="auto"/>
        <w:bidi w:val="0"/>
        <w:spacing w:before="0" w:after="78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27.06.2023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434343"/>
          <w:spacing w:val="0"/>
          <w:w w:val="100"/>
          <w:position w:val="0"/>
          <w:sz w:val="12"/>
          <w:szCs w:val="12"/>
          <w:shd w:val="clear" w:color="auto" w:fill="auto"/>
          <w:lang w:val="ru-RU" w:eastAsia="ru-RU" w:bidi="ru-RU"/>
        </w:rPr>
        <w:t>19.09.2024</w:t>
      </w:r>
    </w:p>
    <w:p>
      <w:pPr>
        <w:pStyle w:val="Style16"/>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М.А.Кобзева</w:t>
      </w:r>
    </w:p>
    <w:p>
      <w:pPr>
        <w:pStyle w:val="Style2"/>
        <w:keepNext w:val="0"/>
        <w:keepLines w:val="0"/>
        <w:widowControl w:val="0"/>
        <w:shd w:val="clear" w:color="auto" w:fill="auto"/>
        <w:bidi w:val="0"/>
        <w:spacing w:before="0" w:after="90" w:line="218" w:lineRule="auto"/>
        <w:ind w:left="3660" w:right="0" w:firstLine="0"/>
        <w:jc w:val="left"/>
        <w:rPr>
          <w:sz w:val="12"/>
          <w:szCs w:val="12"/>
        </w:rPr>
      </w:pPr>
      <w:r>
        <w:rPr>
          <w:color w:val="202020"/>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02020"/>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202020"/>
          <w:spacing w:val="0"/>
          <w:w w:val="100"/>
          <w:position w:val="0"/>
          <w:sz w:val="12"/>
          <w:szCs w:val="12"/>
          <w:shd w:val="clear" w:color="auto" w:fill="auto"/>
          <w:lang w:val="ru-RU" w:eastAsia="ru-RU" w:bidi="ru-RU"/>
        </w:rPr>
        <w:t>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000" w:right="0" w:firstLine="0"/>
        <w:jc w:val="left"/>
        <w:rPr>
          <w:sz w:val="11"/>
          <w:szCs w:val="11"/>
        </w:rPr>
      </w:pPr>
      <w:r>
        <w:rPr>
          <w:rFonts w:ascii="Arial" w:eastAsia="Arial" w:hAnsi="Arial" w:cs="Arial"/>
          <w:color w:val="6B6B6B"/>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1"/>
          <w:szCs w:val="11"/>
          <w:shd w:val="clear" w:color="auto" w:fill="auto"/>
          <w:lang w:val="ru-RU" w:eastAsia="ru-RU" w:bidi="ru-RU"/>
        </w:rPr>
        <w:t>Кобзева Мария Александровна</w:t>
      </w:r>
    </w:p>
    <w:p>
      <w:pPr>
        <w:pStyle w:val="Style2"/>
        <w:keepNext w:val="0"/>
        <w:keepLines w:val="0"/>
        <w:widowControl w:val="0"/>
        <w:shd w:val="clear" w:color="auto" w:fill="auto"/>
        <w:bidi w:val="0"/>
        <w:spacing w:before="0" w:after="0" w:line="240" w:lineRule="auto"/>
        <w:ind w:left="30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34343"/>
          <w:spacing w:val="0"/>
          <w:w w:val="100"/>
          <w:position w:val="0"/>
          <w:sz w:val="12"/>
          <w:szCs w:val="12"/>
          <w:shd w:val="clear" w:color="auto" w:fill="auto"/>
          <w:lang w:val="ru-RU" w:eastAsia="ru-RU" w:bidi="ru-RU"/>
        </w:rPr>
        <w:t>7С9523Е362Е0О7ААЕЕ07ЕЗС0Е5ЕЕЕ18В</w:t>
      </w:r>
    </w:p>
    <w:p>
      <w:pPr>
        <w:pStyle w:val="Style2"/>
        <w:keepNext w:val="0"/>
        <w:keepLines w:val="0"/>
        <w:widowControl w:val="0"/>
        <w:shd w:val="clear" w:color="auto" w:fill="auto"/>
        <w:bidi w:val="0"/>
        <w:spacing w:before="0" w:after="460" w:line="240" w:lineRule="auto"/>
        <w:ind w:left="3000" w:right="0" w:firstLine="0"/>
        <w:jc w:val="left"/>
        <w:rPr>
          <w:sz w:val="12"/>
          <w:szCs w:val="12"/>
        </w:rPr>
      </w:pPr>
      <w:r>
        <mc:AlternateContent>
          <mc:Choice Requires="wps">
            <w:drawing>
              <wp:anchor distT="0" distB="0" distL="114300" distR="114300" simplePos="0" relativeHeight="125829383" behindDoc="0" locked="0" layoutInCell="1" allowOverlap="1">
                <wp:simplePos x="0" y="0"/>
                <wp:positionH relativeFrom="page">
                  <wp:posOffset>6122035</wp:posOffset>
                </wp:positionH>
                <wp:positionV relativeFrom="paragraph">
                  <wp:posOffset>228600</wp:posOffset>
                </wp:positionV>
                <wp:extent cx="1069975" cy="250190"/>
                <wp:wrapSquare wrapText="left"/>
                <wp:docPr id="21" name="Shape 21"/>
                <a:graphic xmlns:a="http://schemas.openxmlformats.org/drawingml/2006/main">
                  <a:graphicData uri="http://schemas.microsoft.com/office/word/2010/wordprocessingShape">
                    <wps:wsp>
                      <wps:cNvSpPr txBox="1"/>
                      <wps:spPr>
                        <a:xfrm>
                          <a:ext cx="106997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К.С. Крылова</w:t>
                            </w:r>
                          </w:p>
                        </w:txbxContent>
                      </wps:txbx>
                      <wps:bodyPr wrap="none" lIns="0" tIns="0" rIns="0" bIns="0">
                        <a:noAutoFit/>
                      </wps:bodyPr>
                    </wps:wsp>
                  </a:graphicData>
                </a:graphic>
              </wp:anchor>
            </w:drawing>
          </mc:Choice>
          <mc:Fallback>
            <w:pict>
              <v:shape id="_x0000_s1047" type="#_x0000_t202" style="position:absolute;margin-left:482.05000000000001pt;margin-top:18.pt;width:84.25pt;height:19.699999999999999pt;z-index:-125829370;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К.С. Крылова</w:t>
                      </w:r>
                    </w:p>
                  </w:txbxContent>
                </v:textbox>
                <w10:wrap type="square" side="left" anchorx="page"/>
              </v:shape>
            </w:pict>
          </mc:Fallback>
        </mc:AlternateContent>
      </w:r>
      <w:r>
        <w:rPr>
          <w:rFonts w:ascii="Arial" w:eastAsia="Arial" w:hAnsi="Arial" w:cs="Arial"/>
          <w:color w:val="000000"/>
          <w:spacing w:val="0"/>
          <w:w w:val="100"/>
          <w:position w:val="0"/>
          <w:sz w:val="12"/>
          <w:szCs w:val="12"/>
          <w:shd w:val="clear" w:color="auto" w:fill="auto"/>
          <w:lang w:val="ru-RU" w:eastAsia="ru-RU" w:bidi="ru-RU"/>
        </w:rPr>
        <w:t xml:space="preserve">Действителен с </w:t>
      </w:r>
      <w:r>
        <w:rPr>
          <w:rFonts w:ascii="Arial" w:eastAsia="Arial" w:hAnsi="Arial" w:cs="Arial"/>
          <w:color w:val="6B6B6B"/>
          <w:spacing w:val="0"/>
          <w:w w:val="100"/>
          <w:position w:val="0"/>
          <w:sz w:val="12"/>
          <w:szCs w:val="12"/>
          <w:shd w:val="clear" w:color="auto" w:fill="auto"/>
          <w:lang w:val="ru-RU" w:eastAsia="ru-RU" w:bidi="ru-RU"/>
        </w:rPr>
        <w:t>18.07.2023 по 10.10.2024</w:t>
      </w:r>
    </w:p>
    <w:p>
      <w:pPr>
        <w:pStyle w:val="Style2"/>
        <w:keepNext w:val="0"/>
        <w:keepLines w:val="0"/>
        <w:widowControl w:val="0"/>
        <w:shd w:val="clear" w:color="auto" w:fill="auto"/>
        <w:bidi w:val="0"/>
        <w:spacing w:before="0" w:after="95" w:line="214" w:lineRule="auto"/>
        <w:ind w:left="3720" w:right="0" w:firstLine="20"/>
        <w:jc w:val="left"/>
        <w:rPr>
          <w:sz w:val="12"/>
          <w:szCs w:val="12"/>
        </w:rPr>
      </w:pPr>
      <w:r>
        <w:rPr>
          <w:color w:val="202020"/>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02020"/>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434343"/>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Крылова Карина Сергеевна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34343"/>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8E8E8E"/>
          <w:spacing w:val="0"/>
          <w:w w:val="100"/>
          <w:position w:val="0"/>
          <w:sz w:val="12"/>
          <w:szCs w:val="12"/>
          <w:shd w:val="clear" w:color="auto" w:fill="auto"/>
          <w:lang w:val="ru-RU" w:eastAsia="ru-RU" w:bidi="ru-RU"/>
        </w:rPr>
        <w:t>241</w:t>
      </w:r>
      <w:r>
        <w:rPr>
          <w:rFonts w:ascii="Arial" w:eastAsia="Arial" w:hAnsi="Arial" w:cs="Arial"/>
          <w:color w:val="434343"/>
          <w:spacing w:val="0"/>
          <w:w w:val="100"/>
          <w:position w:val="0"/>
          <w:sz w:val="12"/>
          <w:szCs w:val="12"/>
          <w:shd w:val="clear" w:color="auto" w:fill="auto"/>
          <w:lang w:val="ru-RU" w:eastAsia="ru-RU" w:bidi="ru-RU"/>
        </w:rPr>
        <w:t>Е404С2442Е14ВАЕ6А5С896О85СС6В</w:t>
      </w:r>
    </w:p>
    <w:p>
      <w:pPr>
        <w:pStyle w:val="Style2"/>
        <w:keepNext w:val="0"/>
        <w:keepLines w:val="0"/>
        <w:widowControl w:val="0"/>
        <w:shd w:val="clear" w:color="auto" w:fill="auto"/>
        <w:bidi w:val="0"/>
        <w:spacing w:before="0" w:after="10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34343"/>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25.01.2023 по </w:t>
      </w:r>
      <w:r>
        <w:rPr>
          <w:rFonts w:ascii="Arial" w:eastAsia="Arial" w:hAnsi="Arial" w:cs="Arial"/>
          <w:color w:val="434343"/>
          <w:spacing w:val="0"/>
          <w:w w:val="100"/>
          <w:position w:val="0"/>
          <w:sz w:val="12"/>
          <w:szCs w:val="12"/>
          <w:shd w:val="clear" w:color="auto" w:fill="auto"/>
          <w:lang w:val="ru-RU" w:eastAsia="ru-RU" w:bidi="ru-RU"/>
        </w:rPr>
        <w:t>19.04.2024</w:t>
      </w:r>
    </w:p>
    <w:sectPr>
      <w:footnotePr>
        <w:pos w:val="pageBottom"/>
        <w:numFmt w:val="decimal"/>
        <w:numRestart w:val="continuous"/>
      </w:footnotePr>
      <w:type w:val="continuous"/>
      <w:pgSz w:w="11900" w:h="16840"/>
      <w:pgMar w:top="1666" w:right="546" w:bottom="1666"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wps:txbx>
                    <wps:bodyPr wrap="none" lIns="0" tIns="0" rIns="0" bIns="0">
                      <a:spAutoFit/>
                    </wps:bodyPr>
                  </wps:wsp>
                </a:graphicData>
              </a:graphic>
            </wp:anchor>
          </w:drawing>
        </mc:Choice>
        <mc:Fallback>
          <w:pict>
            <v:shape id="_x0000_s1029"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wps:txbx>
                    <wps:bodyPr wrap="none" lIns="0" tIns="0" rIns="0" bIns="0">
                      <a:spAutoFit/>
                    </wps:bodyPr>
                  </wps:wsp>
                </a:graphicData>
              </a:graphic>
            </wp:anchor>
          </w:drawing>
        </mc:Choice>
        <mc:Fallback>
          <w:pict>
            <v:shape id="_x0000_s1037"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2023-9874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671830</wp:posOffset>
              </wp:positionV>
              <wp:extent cx="128270" cy="106680"/>
              <wp:wrapNone/>
              <wp:docPr id="1" name="Shape 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7.30000000000001pt;margin-top:52.899999999999999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762635</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25pt;margin-top:60.050000000000004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671830</wp:posOffset>
              </wp:positionV>
              <wp:extent cx="128270" cy="106680"/>
              <wp:wrapNone/>
              <wp:docPr id="9" name="Shape 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52.899999999999999pt;width:10.1pt;height:8.4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s>
</file>