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1778000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89305" distL="114300" distR="132715" simplePos="0" relativeHeight="125829379" behindDoc="0" locked="0" layoutInCell="1" allowOverlap="1">
                <wp:simplePos x="0" y="0"/>
                <wp:positionH relativeFrom="page">
                  <wp:posOffset>726440</wp:posOffset>
                </wp:positionH>
                <wp:positionV relativeFrom="paragraph">
                  <wp:posOffset>728980</wp:posOffset>
                </wp:positionV>
                <wp:extent cx="2578735" cy="1755775"/>
                <wp:wrapSquare wrapText="right"/>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00000000000003pt;margin-top:57.399999999999999pt;width:203.05000000000001pt;height:138.25pt;z-index:-125829374;mso-wrap-distance-left:9.pt;mso-wrap-distance-top:56.399999999999999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729615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726440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200000000000003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Индивидуальный предприниматель Кравченко Алексей Викторович г. Калуга</w:t>
      </w:r>
    </w:p>
    <w:p>
      <w:pPr>
        <w:pStyle w:val="Style10"/>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тГо@до8Гагт.ги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Федеральное государственное</w:t>
      </w:r>
    </w:p>
    <w:p>
      <w:pPr>
        <w:pStyle w:val="Style10"/>
        <w:keepNext w:val="0"/>
        <w:keepLines w:val="0"/>
        <w:widowControl w:val="0"/>
        <w:shd w:val="clear" w:color="auto" w:fill="auto"/>
        <w:bidi w:val="0"/>
        <w:spacing w:before="0" w:after="0" w:line="240" w:lineRule="auto"/>
        <w:ind w:left="1020" w:right="0" w:firstLine="0"/>
        <w:jc w:val="both"/>
      </w:pPr>
      <w:r>
        <w:rPr>
          <w:color w:val="000000"/>
          <w:spacing w:val="0"/>
          <w:w w:val="100"/>
          <w:position w:val="0"/>
          <w:shd w:val="clear" w:color="auto" w:fill="auto"/>
          <w:lang w:val="ru-RU" w:eastAsia="ru-RU" w:bidi="ru-RU"/>
        </w:rPr>
        <w:t>бюджетное учреждение «Национальный медицинский исследовательский центр травматологии и ортопедии имени академика Г.А. Илизарова» Министерства здравоохранения Российской Федерации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640014, Курганская область, г. Курган, ул. М. Ульяновой, д. 6</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т18-гпсИю@тай.ги; ойдсе@гпсИю.ги;</w:t>
      </w:r>
    </w:p>
    <w:p>
      <w:pPr>
        <w:pStyle w:val="Style10"/>
        <w:keepNext w:val="0"/>
        <w:keepLines w:val="0"/>
        <w:widowControl w:val="0"/>
        <w:shd w:val="clear" w:color="auto" w:fill="auto"/>
        <w:bidi w:val="0"/>
        <w:spacing w:before="0" w:after="1940" w:line="240" w:lineRule="auto"/>
        <w:ind w:left="5320" w:right="0" w:firstLine="0"/>
        <w:jc w:val="left"/>
      </w:pPr>
      <w:r>
        <w:rPr>
          <w:color w:val="000000"/>
          <w:spacing w:val="0"/>
          <w:w w:val="100"/>
          <w:position w:val="0"/>
          <w:shd w:val="clear" w:color="auto" w:fill="auto"/>
          <w:lang w:val="ru-RU" w:eastAsia="ru-RU" w:bidi="ru-RU"/>
        </w:rPr>
        <w:t>оПке@1Н/агоу.П1</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045/06/106-589/2023</w:t>
        <w:br/>
        <w:t>по делу о нарушении законодательства о контрактной системе в сфере закупок</w:t>
      </w:r>
    </w:p>
    <w:p>
      <w:pPr>
        <w:pStyle w:val="Style10"/>
        <w:keepNext w:val="0"/>
        <w:keepLines w:val="0"/>
        <w:widowControl w:val="0"/>
        <w:shd w:val="clear" w:color="auto" w:fill="auto"/>
        <w:tabs>
          <w:tab w:pos="9086"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27.11.2023 г.</w:t>
        <w:tab/>
        <w:t>г. Курган</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Иванова А.В. - Врио руководителя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Колпакова А.Ю.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400" w:line="240" w:lineRule="auto"/>
        <w:ind w:left="0" w:right="0" w:firstLine="740"/>
        <w:jc w:val="both"/>
      </w:pPr>
      <w:r>
        <w:rPr>
          <w:color w:val="00000A"/>
          <w:spacing w:val="0"/>
          <w:w w:val="100"/>
          <w:position w:val="0"/>
          <w:shd w:val="clear" w:color="auto" w:fill="auto"/>
          <w:lang w:val="ru-RU" w:eastAsia="ru-RU" w:bidi="ru-RU"/>
        </w:rPr>
        <w:t xml:space="preserve">в присутствии представителей Заказчика - </w:t>
      </w:r>
      <w:r>
        <w:rPr>
          <w:color w:val="000000"/>
          <w:spacing w:val="0"/>
          <w:w w:val="100"/>
          <w:position w:val="0"/>
          <w:shd w:val="clear" w:color="auto" w:fill="auto"/>
          <w:lang w:val="ru-RU" w:eastAsia="ru-RU" w:bidi="ru-RU"/>
        </w:rPr>
        <w:t>Федерального государственного бюджетного учреждения «Национальный медицинский исследовательский центр</w:t>
      </w:r>
    </w:p>
    <w:p>
      <w:pPr>
        <w:pStyle w:val="Style17"/>
        <w:keepNext/>
        <w:keepLines/>
        <w:widowControl w:val="0"/>
        <w:shd w:val="clear" w:color="auto" w:fill="auto"/>
        <w:bidi w:val="0"/>
        <w:spacing w:before="0" w:after="0" w:line="240" w:lineRule="auto"/>
        <w:ind w:left="0" w:right="0" w:firstLine="0"/>
        <w:jc w:val="left"/>
        <w:rPr>
          <w:sz w:val="28"/>
          <w:szCs w:val="28"/>
        </w:rPr>
      </w:pPr>
      <w:bookmarkStart w:id="0" w:name="bookmark0"/>
      <w:r>
        <w:rPr>
          <w:color w:val="000000"/>
          <w:spacing w:val="0"/>
          <w:w w:val="100"/>
          <w:position w:val="0"/>
          <w:sz w:val="48"/>
          <w:szCs w:val="48"/>
          <w:shd w:val="clear" w:color="auto" w:fill="auto"/>
          <w:lang w:val="ru-RU" w:eastAsia="ru-RU" w:bidi="ru-RU"/>
        </w:rPr>
        <w:t>11111111111111IIIIII1111</w:t>
      </w:r>
      <w:bookmarkEnd w:id="0"/>
      <w:r>
        <w:rPr>
          <w:color w:val="000000"/>
          <w:spacing w:val="0"/>
          <w:w w:val="100"/>
          <w:position w:val="0"/>
          <w:sz w:val="48"/>
          <w:szCs w:val="48"/>
          <w:shd w:val="clear" w:color="auto" w:fill="auto"/>
          <w:lang w:val="ru-RU" w:eastAsia="ru-RU" w:bidi="ru-RU"/>
        </w:rPr>
        <w:t xml:space="preserve"> </w:t>
      </w:r>
      <w:r>
        <w:rPr>
          <w:rStyle w:val="CharStyle11"/>
        </w:rPr>
        <w:t>травматологии и ортопедии имени академика Г.А. Илизарова» Министерства здравоохранения Российской Федерации (далее - ФГБУ «НМИЦ ТО имени академика Г.А. Илизарова» Минздрава России, Заказчик) - Шибаевой М.А. (на основании доверенности № 29 от 06.03.2023 г.)</w:t>
      </w:r>
      <w:r>
        <w:rPr>
          <w:rStyle w:val="CharStyle11"/>
          <w:color w:val="00000A"/>
        </w:rPr>
        <w:t>, Поздеевой Г.Г. (доверенность № 28 от 03.03.2023 г.), Петрухиной Е.А. (доверенность № 127 от 23.08.2023 г.),</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 xml:space="preserve">в присутствии Индивидуального предпринимателя Кравченко Алексея Викторовича </w:t>
      </w:r>
      <w:r>
        <w:rPr>
          <w:color w:val="000000"/>
          <w:spacing w:val="0"/>
          <w:w w:val="100"/>
          <w:position w:val="0"/>
          <w:shd w:val="clear" w:color="auto" w:fill="auto"/>
          <w:lang w:val="ru-RU" w:eastAsia="ru-RU" w:bidi="ru-RU"/>
        </w:rPr>
        <w:t xml:space="preserve">(далее - </w:t>
      </w:r>
      <w:r>
        <w:rPr>
          <w:color w:val="00000A"/>
          <w:spacing w:val="0"/>
          <w:w w:val="100"/>
          <w:position w:val="0"/>
          <w:shd w:val="clear" w:color="auto" w:fill="auto"/>
          <w:lang w:val="ru-RU" w:eastAsia="ru-RU" w:bidi="ru-RU"/>
        </w:rPr>
        <w:t>ИП Кравченко А.В., Заявитель) - посредством видео- конференц связи, предъявлен паспорт,</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w:t>
      </w:r>
      <w:r>
        <w:rPr>
          <w:color w:val="00000A"/>
          <w:spacing w:val="0"/>
          <w:w w:val="100"/>
          <w:position w:val="0"/>
          <w:shd w:val="clear" w:color="auto" w:fill="auto"/>
          <w:lang w:val="ru-RU" w:eastAsia="ru-RU" w:bidi="ru-RU"/>
        </w:rPr>
        <w:t xml:space="preserve">ИП Кравченко А.В. на действия Заказчика - </w:t>
      </w:r>
      <w:r>
        <w:rPr>
          <w:color w:val="000000"/>
          <w:spacing w:val="0"/>
          <w:w w:val="100"/>
          <w:position w:val="0"/>
          <w:shd w:val="clear" w:color="auto" w:fill="auto"/>
          <w:lang w:val="ru-RU" w:eastAsia="ru-RU" w:bidi="ru-RU"/>
        </w:rPr>
        <w:t>ФГБУ «НМИЦ ТО имени академика Г.А. Илизарова» Минздрава России при осуществлении закупки путем проведения запроса котировок в электронной форме на поставку системы ультразвуковой визуализации сердечно-сосудистой системы (310) (извещение № 0343100000723000794),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21.11.2023 г. в Курганское УФАС России поступила жалоба </w:t>
      </w:r>
      <w:r>
        <w:rPr>
          <w:color w:val="00000A"/>
          <w:spacing w:val="0"/>
          <w:w w:val="100"/>
          <w:position w:val="0"/>
          <w:shd w:val="clear" w:color="auto" w:fill="auto"/>
          <w:lang w:val="ru-RU" w:eastAsia="ru-RU" w:bidi="ru-RU"/>
        </w:rPr>
        <w:t xml:space="preserve">ИП Кравченко А.В. (вх. № 4974-ЭП/23) на действия Заказчика - </w:t>
      </w:r>
      <w:r>
        <w:rPr>
          <w:color w:val="000000"/>
          <w:spacing w:val="0"/>
          <w:w w:val="100"/>
          <w:position w:val="0"/>
          <w:shd w:val="clear" w:color="auto" w:fill="auto"/>
          <w:lang w:val="ru-RU" w:eastAsia="ru-RU" w:bidi="ru-RU"/>
        </w:rPr>
        <w:t>ФГБУ «НМИЦ ТО имени академика Г.А. Илизарова» Минздрава России при осуществлении закупки путем проведения запроса котировок в электронной форме на поставку системы ультразвуковой визуализации сердечно-сосудистой системы (310) (извещение № 0343100000723000794).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Согласно доводу жалобы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 Описание объекта закупки соответствует продукции исключительно иностранного производства более низкого качества, по завышенной цене.</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обоснование своей позиции Заявитель указывает, что на день подачи жалобы в едином реестре российской радиоэлектронной продукции зарегистрировано как минимум четыре ультразвуковых аппарата,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0"/>
        <w:keepNext w:val="0"/>
        <w:keepLines w:val="0"/>
        <w:widowControl w:val="0"/>
        <w:numPr>
          <w:ilvl w:val="0"/>
          <w:numId w:val="1"/>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АО НПО «Сканер» № РЭ-3289/21 - Система ультразвуковая диагностическая медицинская «РуСкан 65М» по ТУ 26.60.12-003-98204792-2019 с принадлежностями;</w:t>
      </w:r>
    </w:p>
    <w:p>
      <w:pPr>
        <w:pStyle w:val="Style10"/>
        <w:keepNext w:val="0"/>
        <w:keepLines w:val="0"/>
        <w:widowControl w:val="0"/>
        <w:numPr>
          <w:ilvl w:val="0"/>
          <w:numId w:val="1"/>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АО НПО «Сканер» № РЭ-3243/21 - Система ультразвуковая диагностическая медицинская «РуСкан 65» по ТУ 26.60.12-003-98204792-2019 с принадлежностями;</w:t>
      </w:r>
    </w:p>
    <w:p>
      <w:pPr>
        <w:pStyle w:val="Style10"/>
        <w:keepNext w:val="0"/>
        <w:keepLines w:val="0"/>
        <w:widowControl w:val="0"/>
        <w:numPr>
          <w:ilvl w:val="0"/>
          <w:numId w:val="1"/>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АО НПО «Сканер» № РЭ-3290/21 - Система ультразвуковая диагностическая медицинская «РуСкан 70П» по ТУ 26.60.12-004-98204792-2020 с принадлежностями;</w:t>
      </w:r>
    </w:p>
    <w:p>
      <w:pPr>
        <w:pStyle w:val="Style10"/>
        <w:keepNext w:val="0"/>
        <w:keepLines w:val="0"/>
        <w:widowControl w:val="0"/>
        <w:numPr>
          <w:ilvl w:val="0"/>
          <w:numId w:val="1"/>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АО «НИПК «ЭЛЕКТРОН» № РЭ-4832/22 - Система диагностическая для ультразвуковых исследований УЗИ-ЭЛЕКТРОН.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технического задания, что указывает на невозможность реализации положений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(далее - Постановление № 878). 2. Согласно доводу жалобы Заказчиком не исполнены требования Постановления Правительства РФ от 3 декабря 2020 г. № 2014 «О минимальной обязательной доле закупок российских товаров и ее достижении заказчиком» (далее - Постановление № 2014), в части закупки аппаратов ультразвукового исследования Российского производства не менее 80%.</w:t>
      </w:r>
    </w:p>
    <w:p>
      <w:pPr>
        <w:pStyle w:val="Style10"/>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установленный Постановлением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pPr>
        <w:pStyle w:val="Style10"/>
        <w:keepNext w:val="0"/>
        <w:keepLines w:val="0"/>
        <w:widowControl w:val="0"/>
        <w:numPr>
          <w:ilvl w:val="0"/>
          <w:numId w:val="3"/>
        </w:numPr>
        <w:shd w:val="clear" w:color="auto" w:fill="auto"/>
        <w:tabs>
          <w:tab w:pos="1042" w:val="left"/>
          <w:tab w:pos="16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составе жалобы Заявитель указывает, что при формировании описания объекта закупки Заказчиком применена неверная позиция КТРУ 26.60.12.132-00000011 «Система ультразвуковой визуализации сердечнососудистой системы», поскольку из положений описания объекта закупки следует, что Заказчиком закупается система ультразвуковой визуализации универсальная, которой соответствуют иные позиции КТРУ, например позиции КТРУ 26.60.12.132</w:t>
        <w:softHyphen/>
        <w:t>00000036,</w:t>
        <w:tab/>
        <w:t>26.60.12.132-00000037 «Система ультразвуковой визуализации</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универсальная, с питанием от сети».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Заказчиком представлены запрашиваемые уведомлением Курганского УФАС России от АИ/3042/23 от 22.11.2023 документы и сведения.</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Представители Заказчика </w:t>
      </w:r>
      <w:r>
        <w:rPr>
          <w:color w:val="000000"/>
          <w:spacing w:val="0"/>
          <w:w w:val="100"/>
          <w:position w:val="0"/>
          <w:shd w:val="clear" w:color="auto" w:fill="auto"/>
          <w:lang w:val="ru-RU" w:eastAsia="ru-RU" w:bidi="ru-RU"/>
        </w:rPr>
        <w:t>с доводами, изложенными Заявителем в жалобе, не согласны по основаниям, изложенным в возражениях, которые приобщены к материалам дела по рассмотрению данной жалобы, просили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09.11.2023 г. в ЕИС опубликовано извещение о проведении запроса котировок в электронной форме на поставку системы ультразвуковой визуализации сердечно-сосудистой системы (310) (извещение № 0343100000723000794).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7 737 879 рублей 00копеек.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является ФГБУ «НМИЦ ТО имени академика Г.А. Илизарова» Минздрава России.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рассмотрении жалобы по существу Заявитель также ходатайствовал о ведении собственной аудиозаписи. Ходатайство рассмотрено и подлежит удовлетворению.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и Уполномоченным учреждением, приобщенные к материалам дела по рассмотрению жалобы, проведя анализ информации, содержащейся в ЕИС,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w:t>
      </w:r>
      <w:r>
        <w:rPr>
          <w:color w:val="000000"/>
          <w:spacing w:val="0"/>
          <w:w w:val="100"/>
          <w:position w:val="0"/>
          <w:shd w:val="clear" w:color="auto" w:fill="auto"/>
          <w:lang w:val="ru-RU" w:eastAsia="ru-RU" w:bidi="ru-RU"/>
        </w:rPr>
        <w:t>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50 Закона о контрактной системе, гласит, что электронный запрос котировок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первого довода Заявителя Комиссия Курганского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Во исполнение статьи 14 Закона о контрактной системе, Правительством Российской Федерации принято Постановление № 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 Постановления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Комиссией Курганского УФАС России установлено, что в рамках обжалуемой процедуры Заказчиком закупается изделие «Система ультразвуковой визуализации сердечно-сосудистой системы», при этом указано на соответствие закупаемого изделия позиции каталога товаров, работ, услуг для обеспечения государственных и муниципальных нужд (далее - КТРУ) 26.60.12.132-00000011 «Система ультразвуковой визуализации сердечно-сосудистой системы», которая соответствует коду по общероссийскому классификатору продукции по видам экономической деятельности 26.60.12.132 «Аппараты ультразвукового сканирования», который, в </w:t>
      </w:r>
      <w:r>
        <w:rPr>
          <w:color w:val="000000"/>
          <w:spacing w:val="0"/>
          <w:w w:val="100"/>
          <w:position w:val="0"/>
          <w:shd w:val="clear" w:color="auto" w:fill="auto"/>
          <w:lang w:val="ru-RU" w:eastAsia="ru-RU" w:bidi="ru-RU"/>
        </w:rPr>
        <w:t>свою очередь, включен в Перечень, утвержденный положениями Постановления № 878.</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Также Комиссией установлено, что, согласно извещению о проведении запроса котировок в электронной форме, Заказчиком установлены ограничения допуска, предусмотренные положениями Постановления № 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Постановления № 878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3(2) Постановления № 878 установлено, что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отмечает, что ранее в редакции Постановления № 878 от 27.12.2021 содержались следующие положения.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4 Постановления № 878 было установлено, что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согласно пункту 5 Постановления № 878 было установлено, что подтверждением случая, установленного пунктом 4 постановления № 878, является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положения пункта 4, 5 Постановления № 878 утратили свою силу с 1 января 2022 года на основании Постановления Правительства РФ от 06.12.2021 № 2213.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единственным условием установления ограничений для целей осуществления закупок для обеспечения государственных и муниципальных нужд, предусмотренных Постановлением № 878, является нахождение товара в реестре.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постановлением № 878 не установлены требования о том, что описание объекта закупки должно быть составлено на основании характеристик товаров, содержащихся в Реестре.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 Таким образом, Комиссия Курганского УФАС России приходит к выводу, что указанный довод Заявителя не нашел своего подтверждения и является необоснованным.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второго довода Заявителя в части касающегося неисполнения требований Постановления № 2014, Комиссия Курганского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Постановления № 2014 Министерство промышленности и торговли Российской Федерации является федеральным органом исполнительной власти, уполномоченным на осуществление оценки достижения заказчиком минимальной доли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учитывая, что в рамках рассмотрения данной жалобы Комиссия Курганского УФАС России по контролю в сфере закупок не обладает полномочиями по рассмотрению жалоб и обращений в порядке, предусмотренном Постановлением № 2014, рассмотрение доводов жалобы в отношении нарушении Заказчиком указанного постановления не может быть осуществлено.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третьего довода Заявителя, Комиссия Курганского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 Постановления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Style10"/>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10"/>
        <w:keepNext w:val="0"/>
        <w:keepLines w:val="0"/>
        <w:widowControl w:val="0"/>
        <w:numPr>
          <w:ilvl w:val="0"/>
          <w:numId w:val="5"/>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запроса котировок в электронной форме, запрет, предусмотренный положениями Постановления № 1236, Заказчиком не установлен.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 1236.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2(1) постановления Правительства № 1236, 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10"/>
        <w:keepNext w:val="0"/>
        <w:keepLines w:val="0"/>
        <w:widowControl w:val="0"/>
        <w:numPr>
          <w:ilvl w:val="0"/>
          <w:numId w:val="7"/>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w:t>
        <w:softHyphen/>
        <w:t>технологической и программно-аппаратной инфраструктуры, обеспечивающей сбор, обработку и хранение данных (услуги облачных вычислений);</w:t>
      </w:r>
    </w:p>
    <w:p>
      <w:pPr>
        <w:pStyle w:val="Style10"/>
        <w:keepNext w:val="0"/>
        <w:keepLines w:val="0"/>
        <w:widowControl w:val="0"/>
        <w:numPr>
          <w:ilvl w:val="0"/>
          <w:numId w:val="7"/>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0"/>
        <w:keepNext w:val="0"/>
        <w:keepLines w:val="0"/>
        <w:widowControl w:val="0"/>
        <w:numPr>
          <w:ilvl w:val="0"/>
          <w:numId w:val="7"/>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0"/>
        <w:keepNext w:val="0"/>
        <w:keepLines w:val="0"/>
        <w:widowControl w:val="0"/>
        <w:numPr>
          <w:ilvl w:val="0"/>
          <w:numId w:val="7"/>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Исходя из вышеизложенных положений Постановления № 1236 следует, что под программным обеспечиваем, в рамках Постановления № 1236, понимается в том </w:t>
      </w:r>
      <w:r>
        <w:rPr>
          <w:color w:val="000000"/>
          <w:spacing w:val="0"/>
          <w:w w:val="100"/>
          <w:position w:val="0"/>
          <w:shd w:val="clear" w:color="auto" w:fill="auto"/>
          <w:lang w:val="ru-RU" w:eastAsia="ru-RU" w:bidi="ru-RU"/>
        </w:rPr>
        <w:t>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 Аналогичные выводы отражены в письме Минфина России от 30.04.2020 № 24-03-06/35429.</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поставка техники (оборудования) с предустановленным производителем программным обеспечением не является объектом регулирования Постановления № 1236.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представители Заказчика пояснили, что объект закупки, а также предмет контракта, не подпадает под определения программного обеспечения, установленные пунктом 2(1) Постановления № 1236, а также Описание объекта закупки не содержит такой характеристики, как «программное обеспечение», «встроенное программное обеспечение». Заказчик приобретает медицинское изделие с определенными функциями/опциями.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Законом о контрактной системе, а также Постановлением № 1236 не регламентированы случаи применения рассматриваемого запрета при закупках оборудования с предустановленным программным обеспечением (встроенным программным обеспечением), без которого применение данного оборудования невозможно, и в извещении не предусмотрена необходимость установки программного обеспечения и передачи прав на него в результате исполнения обязательств по контракту.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вышеизложенного Комиссия Курганского УФАС России приходит к выводу, что не установление Заказчиком запрета, предусмотренного Постановлением № 1236 является правомерным и не противоречит положениям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данный довод является необоснованным.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третьего довода Заявителя, Комиссия Курганского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которым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14 части 3 статьи 4 Закона о контрактной системе ЕИС содержит каталог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w:t>
      </w:r>
      <w:r>
        <w:rPr>
          <w:color w:val="000000"/>
          <w:spacing w:val="0"/>
          <w:w w:val="100"/>
          <w:position w:val="0"/>
          <w:shd w:val="clear" w:color="auto" w:fill="auto"/>
          <w:lang w:val="ru-RU" w:eastAsia="ru-RU" w:bidi="ru-RU"/>
        </w:rPr>
        <w:t>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подпункту «б» пункта 2 Правил использования КТРУ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4 Правил использования КТРУ Заказчики обязаны применять информацию, включенную в позицию каталога в соответствии с подпунктами «б» - «г» и «е» - «з» пункта10 Правил формирования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«г» пункта 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пунктом 13 Правил формирования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0"/>
        <w:keepNext w:val="0"/>
        <w:keepLines w:val="0"/>
        <w:widowControl w:val="0"/>
        <w:numPr>
          <w:ilvl w:val="0"/>
          <w:numId w:val="9"/>
        </w:numPr>
        <w:shd w:val="clear" w:color="auto" w:fill="auto"/>
        <w:tabs>
          <w:tab w:pos="11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К 616 "Об установлении запрета на допуск </w:t>
      </w:r>
      <w:r>
        <w:rPr>
          <w:color w:val="000000"/>
          <w:spacing w:val="0"/>
          <w:w w:val="100"/>
          <w:position w:val="0"/>
          <w:shd w:val="clear" w:color="auto" w:fill="auto"/>
          <w:lang w:val="ru-RU" w:eastAsia="ru-RU" w:bidi="ru-RU"/>
        </w:rPr>
        <w:t>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К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0"/>
        <w:keepNext w:val="0"/>
        <w:keepLines w:val="0"/>
        <w:widowControl w:val="0"/>
        <w:numPr>
          <w:ilvl w:val="0"/>
          <w:numId w:val="9"/>
        </w:numPr>
        <w:shd w:val="clear" w:color="auto" w:fill="auto"/>
        <w:tabs>
          <w:tab w:pos="11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6 Правил использования КТРУ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отмечено ранее, Заказчик, закупая продукцию, которая входит в Перечень радиоэлектронной продукции, не вправе указывать в извещение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Заказчик обязан при осуществлении закупки продукции, которая входит в Перечень радиоэлектронной продукции, использовать информацию, включенную в соответствующую позицию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Позиция КТРУ 26.60.12.132-00000011 «Система ультразвуковой визуализации сердечно-сосудистой системы», не содержит в себе характеристики товара, работы, услуги в разделе «Описание товара, работы, услуги».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5 Письма Минфина России от 25.08.2020 № 24-06-05/74463, в случае, если описание товара, работы, услуги в соответствии с пунктом 13 Правил </w:t>
      </w:r>
      <w:r>
        <w:rPr>
          <w:color w:val="000000"/>
          <w:spacing w:val="0"/>
          <w:w w:val="100"/>
          <w:position w:val="0"/>
          <w:shd w:val="clear" w:color="auto" w:fill="auto"/>
          <w:lang w:val="ru-RU" w:eastAsia="ru-RU" w:bidi="ru-RU"/>
        </w:rPr>
        <w:t>формирования каталога не сформировано, то описание товара, работы, услуги Минфином России в позицию каталога не включается и соответственно во вкладке "Описание товара, работы, услуги" позиции каталога в ЕИС не отражается,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пояснили Комиссии, что позиция КТРУ 26.60.12.132</w:t>
        <w:softHyphen/>
        <w:t>00000011 «Система ультразвуковой визуализации сердечно-сосудистой системы» не содержит характеристик товара, подлежащих включению в описание объекта закупки, следовательно, Заказчик вправе сформировать описание объекта закупки в соответствии с положениями статьи 33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отмечено в Определении Верховного Суда РФ от 18.12.2015 № 306-КГ15- 16795 по делу № А65-27607/2014,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иных позициях КТРУ, представленных Заявителем в жалобе, а именно: 26.60.12.132-00000036 «Система ультразвуковой визуализации универсальная, с питанием от сети» и 26.60.12.132-00000037 «Система ультразвуковой визуализации универсальная, с питанием от сети» не учитывается ряд важнейших конструктивных и функциональных особенностей описываемого медицинского оборудования, которые крайне важны для Заказчика.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представителя Заказчика пояснили на заседании Комиссии, что система ультразвуковая для визуализации и исследования сердечно-сосудистой системы обусловлена потребностью Заказчика, с целью работы врача-кардиолога, врача детского кардиолога, врача функциональной диагностики во взаимодействии с врачами травматологами-ортопедами, нейрохирургами для быстрого проведения исследования сердца и сосудов у взрослых и детей с первого дня жизни в связи со спецификой работы учреждения.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является медицинской организацией, оказывающей медицинскую помощь пациентам с травмами и ортопедическим патологиями, имеющие при этом тяжелую сопутствующую патологию сердца, центральных (грудная, брюшная аорта) и периферических сосудов (артерий, вен), в том числе и беременные женщины, а также имеющие очень высокий риск периоперационных (интраоперационных и послеоперационных) осложнений со стороны сердца и сосудов в виде развития острого инфаркта миокарда, острых тромбозов артерий и вен, тромбоэмболии легочной артерии, острых внурисердечных тромбозов.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Для исключения рисков осложнений учреждению необходим аппарат ультразвуковой диагностики для исследования именно сердечно-сосудистой системы, имеющий высокие разрешающие способности, высокую степень визуализации для быстрой и точной постановки сердечно-сосудистого диагноза, так </w:t>
      </w:r>
      <w:r>
        <w:rPr>
          <w:color w:val="000000"/>
          <w:spacing w:val="0"/>
          <w:w w:val="100"/>
          <w:position w:val="0"/>
          <w:shd w:val="clear" w:color="auto" w:fill="auto"/>
          <w:lang w:val="ru-RU" w:eastAsia="ru-RU" w:bidi="ru-RU"/>
        </w:rPr>
        <w:t>как от этого зависит тактика дальнейшего лечения пациента.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Принимая во внимание специфику деятельности Заказчиком определена область применения ультразвуковой системы:</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Эхокардиография детей и взрослых (в связи с оказанием медицинской помощи пациентам от 0 дней).</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Чреспищеводная эхокардиография детей и взрослых (для диагностики внутрисердечных тромбов).</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Эхокардиография с использованием УЗ-контрастов (для диагностики локального и глобального нарушения сократимости миокарда, диагностики развития острого инфаркта миокарда).</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Эхокардиография плода (в связи с оказанием медицинской помощи беременным женщинам с травмами, при развитии патологии плода у них необходимо проводить ЭХО-КГ плода).</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Ангиология (необходимо проводить пациентам УЗИ периферических артерий и вен для исключения острых тромбозов).</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Транскраниальное исследование структур и сосудов головного мозга (необходимо проводить пациентам УЗИ магистральных сосудов головного мозга для исключения острых тромбозов артерий головного мозга, наличия нестабильных атеросклеротических бляшек).</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Педиатрия (необходимость проведения ЭХО-КГ и УЗИ периферических и центральных артерий и вен детям от 0 лет до 18 лет).</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Неонатология (необходимость проведения ЭХО-КГ и УЗИ периферических и центральных артерий и вен детям с 1 дня до 28 дней).</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Интраоперационные исследования (необходимость проведения ЭХО-КГ и УЗИ периферических и центральных артерий и вен пациентам в операционной при развитии у них острой сердечно-сосудистой патологии (тромбоэмболии, острые тромбозы вен, острый инфаркт миокарда).</w:t>
      </w:r>
    </w:p>
    <w:p>
      <w:pPr>
        <w:pStyle w:val="Style10"/>
        <w:keepNext w:val="0"/>
        <w:keepLines w:val="0"/>
        <w:widowControl w:val="0"/>
        <w:numPr>
          <w:ilvl w:val="0"/>
          <w:numId w:val="11"/>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Абдоминальные исследования (необходимость проведения УЗИ брюшной аорты для диагностики острых и хронических заболеваний брюшной аорты).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система ультразвуковой визуализации сердечно-сосудистой системы необходима Заказчику исключительно для исследования сердечно</w:t>
        <w:softHyphen/>
        <w:t>сосудистой системы пациента.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Для оказания высокотехнологичной медицинской помощи при осуществлении оперативных вмешательств Заказчику необходимо проводить экстракорпоральные и/или интракорпоральные процедуры визуализации сердца и кровеносных сосудов с целью планирования оперативного вмешательства, снижения риска интраоперационных осложнений, в том числе кровотечений.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 например, при заболевании Краниосиностоз во всех случаях, рекомендуется проведение устранения деформации и создания условий для нормального роста головного мозга, мозгового и лицевого черепа. Устранение краниосиностоза путем только краниоэктомий возможно лишь у пациентов с изолированным синостозом сагиттального шва в возрасте до 3 месяцев. ("Клинические рекомендации "Врожденные аномалии костей черепа и лица, </w:t>
      </w:r>
      <w:r>
        <w:rPr>
          <w:color w:val="000000"/>
          <w:spacing w:val="0"/>
          <w:w w:val="100"/>
          <w:position w:val="0"/>
          <w:shd w:val="clear" w:color="auto" w:fill="auto"/>
          <w:lang w:val="ru-RU" w:eastAsia="ru-RU" w:bidi="ru-RU"/>
        </w:rPr>
        <w:t>врожденные костно-мышечные деформации головы и лица" (утв. Минздравом России).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Перед оперативным вмешательством рекомендуется детальное изучение головного мозга, ликворной системы, а также анатомии кровеносной системы черепа. Указанный вид исследования возможно провести с помощью системы ультразвуковой визуализации сердечно-сосудистой системы.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Оперативное лечение травматолого-ортопедических больных из-за ряда объективных причин (хирургическая доступность, особенности течения болезни, топографо-анатомические особенности пораженного сегмента и т.д.) имеют высокие риски осложнений в виде повреждения (разрыв, отрыв, рассечение, травматическая аневризма) крупных кровеносных сосудов: аорты или сонной артерии (общей, наружной, внутренней), или подключичной, или подмышечной, или плечевой, или подвздошной (общей, наружной, внутренней), или бедренной, или подколенной артерий и (или) сопровождающих их магистральных вен. Для целей профилактики осложнений необходимо проводить процедуры визуализации сердца и кровеносных сосудов:</w:t>
      </w:r>
    </w:p>
    <w:p>
      <w:pPr>
        <w:pStyle w:val="Style10"/>
        <w:keepNext w:val="0"/>
        <w:keepLines w:val="0"/>
        <w:widowControl w:val="0"/>
        <w:numPr>
          <w:ilvl w:val="0"/>
          <w:numId w:val="13"/>
        </w:numPr>
        <w:shd w:val="clear" w:color="auto" w:fill="auto"/>
        <w:tabs>
          <w:tab w:pos="9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предоперационные с целью планирования оперативного вмешательства;</w:t>
      </w:r>
    </w:p>
    <w:p>
      <w:pPr>
        <w:pStyle w:val="Style10"/>
        <w:keepNext w:val="0"/>
        <w:keepLines w:val="0"/>
        <w:widowControl w:val="0"/>
        <w:numPr>
          <w:ilvl w:val="0"/>
          <w:numId w:val="13"/>
        </w:numPr>
        <w:shd w:val="clear" w:color="auto" w:fill="auto"/>
        <w:tabs>
          <w:tab w:pos="9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интраоперационные (во время проведения оперативного вмешательства) с целью исключения повреждений сосудов;</w:t>
      </w:r>
    </w:p>
    <w:p>
      <w:pPr>
        <w:pStyle w:val="Style10"/>
        <w:keepNext w:val="0"/>
        <w:keepLines w:val="0"/>
        <w:widowControl w:val="0"/>
        <w:numPr>
          <w:ilvl w:val="0"/>
          <w:numId w:val="13"/>
        </w:numPr>
        <w:shd w:val="clear" w:color="auto" w:fill="auto"/>
        <w:tabs>
          <w:tab w:pos="9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послеоперационные для контроля в соответствии с Правил проведения рентгенологических исследований, утвержденных Приказом Минздрава России от 09.06.2020 № 560н.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Определения Верховного суда РФ от 13 октября 2023 года № 302-ЭС23-19435 по делу К А33-10567/2022), отсутствие соответствующих характеристик в описании объекта закупки, содержащегося в позиции КТРУ, не должно служить препятствием для закупки медицинского оборудования, наиболее полно обеспечивающего потребности заказчика, если описание продукции в субпозициях кода КТРУ содержит лишь самые основные характеристики, не позволяющие в полной мере установить технические и функциональные характеристики предлагаемого товара.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Установление Заказчиком характеристик товара, которые ему необходимы для осуществления деятельности медицинских организаций в силу их потребностей, не противоречит положениям Закона о контрактной системе, если при формировании требований к техническим и функциональным характеристикам оборудования Заказчик учитывает необходимость обеспечения конечного результата - поставку оборудования, обеспечивающего проведение наиболее точного медицинского обследования пациентов.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4 статьи 106 Закона о контрактной системе обязанность доказывания нарушения Заказчиком своих прав и законных интересов лежит на подателе жалобы, однако, в составе жалобы Заявителем не представлено документов и сведений, свидетельствующих о нарушении Заказчиком норм Закона о контрактной системе при формировании объекта закупки вышеуказанным образом.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приходит к выводу, что данный довод Заявителя не нашел своего подтверждения и является необоснованным.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нарушений требований законодательства о контрактной системе не установлено.</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статьями 99, 105, 106 Закона о контрактной системе, Комиссией Курганского УФАС России,</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Признать жалобу Индивидуального предпринимателя Кравченко Алексея Викторовича необоснованной.</w:t>
      </w:r>
    </w:p>
    <w:p>
      <w:pPr>
        <w:pStyle w:val="Style10"/>
        <w:keepNext w:val="0"/>
        <w:keepLines w:val="0"/>
        <w:widowControl w:val="0"/>
        <w:shd w:val="clear" w:color="auto" w:fill="auto"/>
        <w:bidi w:val="0"/>
        <w:spacing w:before="0" w:after="600" w:line="240" w:lineRule="auto"/>
        <w:ind w:left="0" w:right="0" w:firstLine="74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leader="underscore" w:pos="7179" w:val="left"/>
        </w:tabs>
        <w:bidi w:val="0"/>
        <w:spacing w:before="0" w:after="280" w:line="240" w:lineRule="auto"/>
        <w:ind w:left="0" w:right="0" w:firstLine="0"/>
        <w:jc w:val="both"/>
      </w:pPr>
      <w:r>
        <w:rPr>
          <w:color w:val="00000A"/>
          <w:spacing w:val="0"/>
          <w:w w:val="100"/>
          <w:position w:val="0"/>
          <w:shd w:val="clear" w:color="auto" w:fill="auto"/>
          <w:lang w:val="ru-RU" w:eastAsia="ru-RU" w:bidi="ru-RU"/>
        </w:rPr>
        <w:t xml:space="preserve">Заместитель Председателя Комиссии: </w:t>
        <w:tab/>
        <w:t>/ А.В. Иванова</w:t>
      </w:r>
    </w:p>
    <w:p>
      <w:pPr>
        <w:pStyle w:val="Style10"/>
        <w:keepNext w:val="0"/>
        <w:keepLines w:val="0"/>
        <w:widowControl w:val="0"/>
        <w:shd w:val="clear" w:color="auto" w:fill="auto"/>
        <w:tabs>
          <w:tab w:leader="underscore" w:pos="4826" w:val="left"/>
        </w:tabs>
        <w:bidi w:val="0"/>
        <w:spacing w:before="0" w:after="280" w:line="240" w:lineRule="auto"/>
        <w:ind w:left="244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741680</wp:posOffset>
                </wp:positionH>
                <wp:positionV relativeFrom="paragraph">
                  <wp:posOffset>12700</wp:posOffset>
                </wp:positionV>
                <wp:extent cx="1371600" cy="250190"/>
                <wp:wrapSquare wrapText="right"/>
                <wp:docPr id="9" name="Shape 9"/>
                <a:graphic xmlns:a="http://schemas.openxmlformats.org/drawingml/2006/main">
                  <a:graphicData uri="http://schemas.microsoft.com/office/word/2010/wordprocessingShape">
                    <wps:wsp>
                      <wps:cNvSpPr txBox="1"/>
                      <wps:spPr>
                        <a:xfrm>
                          <a:ext cx="137160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5" type="#_x0000_t202" style="position:absolute;margin-left:58.399999999999999pt;margin-top:1.pt;width:108.pt;height:19.699999999999999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A"/>
          <w:spacing w:val="0"/>
          <w:w w:val="100"/>
          <w:position w:val="0"/>
          <w:shd w:val="clear" w:color="auto" w:fill="auto"/>
          <w:lang w:val="ru-RU" w:eastAsia="ru-RU" w:bidi="ru-RU"/>
        </w:rPr>
        <w:tab/>
        <w:t>/ И.М. Стрижова</w:t>
      </w:r>
    </w:p>
    <w:p>
      <w:pPr>
        <w:pStyle w:val="Style10"/>
        <w:keepNext w:val="0"/>
        <w:keepLines w:val="0"/>
        <w:widowControl w:val="0"/>
        <w:shd w:val="clear" w:color="auto" w:fill="auto"/>
        <w:tabs>
          <w:tab w:leader="underscore" w:pos="7179" w:val="left"/>
        </w:tabs>
        <w:bidi w:val="0"/>
        <w:spacing w:before="0" w:after="280" w:line="240" w:lineRule="auto"/>
        <w:ind w:left="4840" w:right="0" w:firstLine="0"/>
        <w:jc w:val="both"/>
      </w:pPr>
      <w:r>
        <w:rPr>
          <w:color w:val="00000A"/>
          <w:spacing w:val="0"/>
          <w:w w:val="100"/>
          <w:position w:val="0"/>
          <w:shd w:val="clear" w:color="auto" w:fill="auto"/>
          <w:lang w:val="ru-RU" w:eastAsia="ru-RU" w:bidi="ru-RU"/>
        </w:rPr>
        <w:tab/>
        <w:t>/ А.Ю. Колпакова</w:t>
      </w:r>
    </w:p>
    <w:sectPr>
      <w:footerReference w:type="default" r:id="rId9"/>
      <w:footerReference w:type="first" r:id="rId10"/>
      <w:footnotePr>
        <w:pos w:val="pageBottom"/>
        <w:numFmt w:val="decimal"/>
        <w:numRestart w:val="continuous"/>
      </w:footnotePr>
      <w:pgSz w:w="11900" w:h="16840"/>
      <w:pgMar w:top="1105" w:right="537" w:bottom="1217" w:left="1101"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10016490</wp:posOffset>
              </wp:positionV>
              <wp:extent cx="640080" cy="100330"/>
              <wp:wrapNone/>
              <wp:docPr id="11" name="Shape 11"/>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2023-3843</w:t>
                          </w:r>
                        </w:p>
                      </w:txbxContent>
                    </wps:txbx>
                    <wps:bodyPr wrap="none" lIns="0" tIns="0" rIns="0" bIns="0">
                      <a:spAutoFit/>
                    </wps:bodyPr>
                  </wps:wsp>
                </a:graphicData>
              </a:graphic>
            </wp:anchor>
          </w:drawing>
        </mc:Choice>
        <mc:Fallback>
          <w:pict>
            <v:shape id="_x0000_s1037" type="#_x0000_t202" style="position:absolute;margin-left:56.850000000000001pt;margin-top:788.7000000000000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2023-3843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9857740</wp:posOffset>
              </wp:positionV>
              <wp:extent cx="640080" cy="100330"/>
              <wp:wrapNone/>
              <wp:docPr id="13" name="Shape 1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2023-3843</w:t>
                          </w:r>
                        </w:p>
                      </w:txbxContent>
                    </wps:txbx>
                    <wps:bodyPr wrap="none" lIns="0" tIns="0" rIns="0" bIns="0">
                      <a:spAutoFit/>
                    </wps:bodyPr>
                  </wps:wsp>
                </a:graphicData>
              </a:graphic>
            </wp:anchor>
          </w:drawing>
        </mc:Choice>
        <mc:Fallback>
          <w:pict>
            <v:shape id="_x0000_s1039" type="#_x0000_t202" style="position:absolute;margin-left:57.200000000000003pt;margin-top:776.2000000000000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2023-3843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8"/>
      <w:szCs w:val="48"/>
      <w:u w:val="none"/>
    </w:rPr>
  </w:style>
  <w:style w:type="paragraph" w:customStyle="1" w:styleId="Style2">
    <w:name w:val="Основной текст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34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