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4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4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01" w:wrap="none" w:hAnchor="page" w:x="1453" w:y="846"/>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7"/>
        <w:keepNext w:val="0"/>
        <w:keepLines w:val="0"/>
        <w:framePr w:w="4219" w:h="1714"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ФГБУ «Федеральный центр сердечно</w:t>
        <w:softHyphen/>
        <w:t>сосудистой хирургии» Министерства здравоохранения Российской Федерации ул. Караульная, д. 45, г. Красноярск, Красноярский край, 660020</w:t>
      </w:r>
    </w:p>
    <w:p>
      <w:pPr>
        <w:pStyle w:val="Style7"/>
        <w:keepNext w:val="0"/>
        <w:keepLines w:val="0"/>
        <w:framePr w:w="4219" w:h="1714"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Гс88Ь.1о^@уапдех.ш</w:t>
      </w:r>
    </w:p>
    <w:p>
      <w:pPr>
        <w:pStyle w:val="Style5"/>
        <w:keepNext w:val="0"/>
        <w:keepLines w:val="0"/>
        <w:framePr w:w="485" w:h="250" w:wrap="none" w:hAnchor="page" w:x="1141" w:y="3222"/>
        <w:widowControl w:val="0"/>
        <w:shd w:val="clear" w:color="auto" w:fill="auto"/>
        <w:bidi w:val="0"/>
        <w:spacing w:before="0" w:after="0" w:line="240" w:lineRule="auto"/>
        <w:ind w:left="0" w:right="0" w:firstLine="0"/>
        <w:jc w:val="left"/>
        <w:rPr>
          <w:sz w:val="20"/>
          <w:szCs w:val="20"/>
        </w:rPr>
      </w:pPr>
      <w:r>
        <w:rPr>
          <w:b w:val="0"/>
          <w:bCs w:val="0"/>
          <w:spacing w:val="0"/>
          <w:w w:val="100"/>
          <w:position w:val="0"/>
          <w:sz w:val="20"/>
          <w:szCs w:val="20"/>
          <w:shd w:val="clear" w:color="auto" w:fill="auto"/>
          <w:lang w:val="ru-RU" w:eastAsia="ru-RU" w:bidi="ru-RU"/>
        </w:rPr>
        <w:t>На№</w:t>
      </w:r>
    </w:p>
    <w:p>
      <w:pPr>
        <w:pStyle w:val="Style2"/>
        <w:keepNext w:val="0"/>
        <w:keepLines w:val="0"/>
        <w:framePr w:w="2976" w:h="653" w:wrap="none" w:hAnchor="page" w:x="1726" w:y="171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p>
      <w:pPr>
        <w:pStyle w:val="Style7"/>
        <w:keepNext w:val="0"/>
        <w:keepLines w:val="0"/>
        <w:framePr w:w="4435" w:h="1162" w:wrap="none" w:hAnchor="page" w:x="6406" w:y="193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ТД «Прометей-2000»</w:t>
      </w:r>
    </w:p>
    <w:p>
      <w:pPr>
        <w:pStyle w:val="Style7"/>
        <w:keepNext w:val="0"/>
        <w:keepLines w:val="0"/>
        <w:framePr w:w="4435" w:h="1162" w:wrap="none" w:hAnchor="page" w:x="6406" w:y="193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Алексеева, д. 24, кв. 161, г. Красноярск, Красноярский край, 660098</w:t>
      </w:r>
    </w:p>
    <w:p>
      <w:pPr>
        <w:pStyle w:val="Style7"/>
        <w:keepNext w:val="0"/>
        <w:keepLines w:val="0"/>
        <w:framePr w:w="4435" w:h="1162" w:wrap="none" w:hAnchor="page" w:x="6406" w:y="1935"/>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2000-рготе1еу@таП.ги</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 АСТ»</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Большой Саввинский переулок, д. 12, стр. 9, г.</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Москва, 119435</w:t>
      </w:r>
    </w:p>
    <w:p>
      <w:pPr>
        <w:pStyle w:val="Style7"/>
        <w:keepNext w:val="0"/>
        <w:keepLines w:val="0"/>
        <w:framePr w:w="4781" w:h="1162" w:wrap="none" w:hAnchor="page" w:x="6406" w:y="331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тГо@8ЬегЬапк-а81.ги</w:t>
      </w:r>
    </w:p>
    <w:p>
      <w:pPr>
        <w:pStyle w:val="Style7"/>
        <w:keepNext w:val="0"/>
        <w:keepLines w:val="0"/>
        <w:framePr w:w="3696" w:h="336" w:wrap="none" w:hAnchor="page" w:x="4386" w:y="5022"/>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№024/06/106-3555/2023</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72" w:right="541" w:bottom="1216"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6307455</wp:posOffset>
                </wp:positionH>
                <wp:positionV relativeFrom="paragraph">
                  <wp:posOffset>12700</wp:posOffset>
                </wp:positionV>
                <wp:extent cx="905510" cy="213360"/>
                <wp:wrapSquare wrapText="bothSides"/>
                <wp:docPr id="5" name="Shape 5"/>
                <a:graphic xmlns:a="http://schemas.openxmlformats.org/drawingml/2006/main">
                  <a:graphicData uri="http://schemas.microsoft.com/office/word/2010/wordprocessingShape">
                    <wps:wsp>
                      <wps:cNvSpPr txBox="1"/>
                      <wps:spPr>
                        <a:xfrm>
                          <a:ext cx="905510" cy="21336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1" type="#_x0000_t202" style="position:absolute;margin-left:496.65000000000003pt;margin-top:1.pt;width:71.299999999999997pt;height:16.800000000000001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13 декабря 2023 года</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 начальник отдела, члены Комиссии: М.А. Грицай, начальник отдела, М.А. Косенко, старший государственный инспектор (далее — Комиссия), рассмотрев жалобу ООО ТД «Прометей-2000» (далее - Податель жалобы) на действия аукционной комиссии ФГБУ «Федеральный центр сердечно- сосудистой хирургии» Министерства здравоохранения Российской Федерации (далее - заказчик) при определении поставщика (подрядчика, исполнителя) путем проведения электронного аукциона « На поставку хозяйственных товаров» с извещением № 0319100000223000884 (далее - электронный аукцион), размещенного на электронной площадке АО «Сбербанк АСТ»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аукциона.</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состоявшемся 12 декабря 2023 года в 15 часов 30 минут заказчик и податель жалобы обеспечили явку своих представителей, личности удостоверены, полномочия подтверждены.</w:t>
      </w:r>
    </w:p>
    <w:p>
      <w:pPr>
        <w:pStyle w:val="Style7"/>
        <w:keepNext w:val="0"/>
        <w:keepLines w:val="0"/>
        <w:widowControl w:val="0"/>
        <w:shd w:val="clear" w:color="auto" w:fill="auto"/>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На рассмотрении жалобы по существу, представителем подателя жалобы было заявлено ходатайство об объявлении перерыва в целях предоставления дополнительных материалов для объективного и всестороннего рассмотрения жалобы по существу.</w:t>
      </w:r>
    </w:p>
    <w:p>
      <w:pPr>
        <w:pStyle w:val="Style13"/>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Ходатайство было удовлетворено Комиссией, заседание было отложено на 13 декабря в 17 часов 30 минут.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указанное время, заседание Комиссии продолжилось в присутствии представителей заказчика и подателя жалобы, надлежащим образом подтвердившие свои полномочия и личность.</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заявка подателя жалобы была неправомерно отклонена аукционной комиссией, поскольку преложенный к поставке товар, по мнению подателя жалобы, полностью соответствует потребности заказчика и требованиям извещения о проведении электронного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 на поставку хозяйственных товаров.</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содержание извещения о проведении электронного аукциона, Комиссия установила, что, исходя из раздела «Информация об объекте закупки» структурированной формы извещения, электронного документа «Описание объекта закупки», фактической потребностью заказчика является поставка модульного полимерного напольного покрытия. Товарный знак «Тагкей, Аг1 Ушу1 СНск с замковыми соединениями ЮЕЕР НОи§Е, цвет Еаига» или эквивалент.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1 статьи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Для участия в конкурентном способе заявка на участие в закупке, если иное не предусмотрено Законом о контрактной системе, должна содержать в рамках предложения участника закупки в отношении объекта закупки как характеристики предлагаемого участником закупки товара, соответствующие показателям, установленным в описании объекта закупки, так и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(подпункт «в» пункта 2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Следовательно, вышеуказанная информация в отношении предлагаемого к поставке товара и содержание документа, подтверждающего соответствие такого товара требованиям, установленным в соответствии с законодательством Российской Федерации, должна корреспондировать друг другу, а не противоречить.</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Проанализировав электронный документ «Требования к содержанию, составу заявки на участие в Электронном аукционе», являющийся приложением к извещению о проведении электронного аукциона, Комиссия установила, что участнику закупки надлежало представить в составе заявки «Характеристики предлагаемого участником закупки товара, соответствующие показателям, установленным в пункте 2 описания объекта закупки (приложение №1 к извещению </w:t>
      </w:r>
      <w:r>
        <w:rPr>
          <w:color w:val="000000"/>
          <w:spacing w:val="0"/>
          <w:w w:val="100"/>
          <w:position w:val="0"/>
          <w:sz w:val="24"/>
          <w:szCs w:val="24"/>
          <w:shd w:val="clear" w:color="auto" w:fill="auto"/>
          <w:lang w:val="ru-RU" w:eastAsia="ru-RU" w:bidi="ru-RU"/>
        </w:rPr>
        <w:t>об осуществлении закупки), товарный знак (при наличии у товара товарного знака). Информация, предусмотренная настоящим пунктом, может не включаться в заявку на участие в закупке в случае указания в пункте 2 описании объекта закупки (приложение №1 к извещению об осуществлении закупки) товарного знака и предложения участником закупки товара, обозначенного таким товарным знаком».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фактическое содержание заявки подателя жалобы на участие в электронном аукционе (заявка №42), Комиссия установила, что структурированная форма такой заявки содержит предложение подателя жалобы о поставке товара: «Покрытие напольное поливинилхлоридное модульное «Тагкей, Аг! Уту1 СНск с замковыми соединениями ^ЕЕР НОи§Е, цвет ^аи^а или эквивалент». В качестве документа, подтверждающего соответствие товара требованиям, установленным в соответствии с законодательством Российской Федерации, податель жалобы в составе заявки представил копию сертификата соответствия №0010901».</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Подпункт «а» пункта 1 части 5 статьи 49 Закона о контрактной системе устанавливает,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 1 части 12 статьи 48 Закона о контратакой системе устанавливает, что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контактной системе (за исключением информации и документов, предусмотренных пунктами 2 и 3 части 6 статьи 43 Закона о контактной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сведениям протокола подведения итогов определения поставщика (подрядчика, исполнителя) от 04.12.2023 №ИЭА1 аукционной комиссией было принято решение об отклонении заявки №42 на участие в электронном аукционе на основании подпункта «а» пункта 1 части 5 статьи 49, пункта 1 части 12 статьи 48 «непредставление (за исключением случаев, предусмотренных Законом о контрактной системе) в заявке информации и документов, предусмотренных извещением (за исключением предусмотренных пунктами 2, 3 части 6 статьи 43);</w:t>
      </w:r>
    </w:p>
    <w:p>
      <w:pPr>
        <w:pStyle w:val="Style7"/>
        <w:keepNext w:val="0"/>
        <w:keepLines w:val="0"/>
        <w:widowControl w:val="0"/>
        <w:shd w:val="clear" w:color="auto" w:fill="auto"/>
        <w:bidi w:val="0"/>
        <w:spacing w:before="0" w:after="0" w:line="240" w:lineRule="auto"/>
        <w:ind w:left="0" w:right="0" w:firstLine="580"/>
        <w:jc w:val="both"/>
        <w:rPr>
          <w:sz w:val="20"/>
          <w:szCs w:val="20"/>
        </w:rPr>
      </w:pPr>
      <w:r>
        <w:rPr>
          <w:color w:val="000000"/>
          <w:spacing w:val="0"/>
          <w:w w:val="100"/>
          <w:position w:val="0"/>
          <w:sz w:val="24"/>
          <w:szCs w:val="24"/>
          <w:shd w:val="clear" w:color="auto" w:fill="auto"/>
          <w:lang w:val="ru-RU" w:eastAsia="ru-RU" w:bidi="ru-RU"/>
        </w:rPr>
        <w:t xml:space="preserve">При рассмотрении аукционной комиссией заявки на участие в электронном аукционе, установлено, что заявка не соответствует требованиям, предусмотренным в извещении об осуществлении закупки, а именно: «Участником закупки в составе заявки в структурированном описании объекта закупки предложен к поставке товар: Покрытие напольное поливинилхлоридное модульное Тагкей, Аг! Уту1 СНск с замковыми соединениями ^ЕЕР НОи§Е, цвет ^аи^а </w:t>
      </w:r>
      <w:r>
        <w:rPr>
          <w:b/>
          <w:bCs/>
          <w:color w:val="000000"/>
          <w:spacing w:val="0"/>
          <w:w w:val="100"/>
          <w:position w:val="0"/>
          <w:sz w:val="24"/>
          <w:szCs w:val="24"/>
          <w:shd w:val="clear" w:color="auto" w:fill="auto"/>
          <w:lang w:val="ru-RU" w:eastAsia="ru-RU" w:bidi="ru-RU"/>
        </w:rPr>
        <w:t>или эквивалент</w:t>
      </w:r>
      <w:r>
        <w:rPr>
          <w:color w:val="000000"/>
          <w:spacing w:val="0"/>
          <w:w w:val="100"/>
          <w:position w:val="0"/>
          <w:sz w:val="24"/>
          <w:szCs w:val="24"/>
          <w:shd w:val="clear" w:color="auto" w:fill="auto"/>
          <w:lang w:val="ru-RU" w:eastAsia="ru-RU" w:bidi="ru-RU"/>
        </w:rPr>
        <w:t>. Из представленной в составе заявки информации о товаре не представляется возможным однозначно определить, какой товар предложен к поставке. Заявка подлежит отклонению за непредставление информации о предлагаемом к поставке товаре, соответствующей требованиям, установленным в извещении об осуществлении закупки»</w:t>
      </w:r>
      <w:r>
        <w:rPr>
          <w:color w:val="000000"/>
          <w:spacing w:val="0"/>
          <w:w w:val="100"/>
          <w:position w:val="0"/>
          <w:sz w:val="20"/>
          <w:szCs w:val="20"/>
          <w:shd w:val="clear" w:color="auto" w:fill="auto"/>
          <w:lang w:val="ru-RU" w:eastAsia="ru-RU" w:bidi="ru-RU"/>
        </w:rPr>
        <w:t>.</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Инструкции по структурированному описанию характеристик объекта закупки, расположенной на электронной торговой площадке</w:t>
      </w:r>
      <w:r>
        <w:fldChar w:fldCharType="begin"/>
      </w:r>
      <w:r>
        <w:rPr/>
        <w:instrText> HYPERLINK "https://www.sberbank-ast.ru/"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1п1Р8:/Л\лу\у.8ЬегЬапк-а81.ги</w:t>
      </w:r>
      <w:r>
        <w:fldChar w:fldCharType="end"/>
      </w:r>
      <w:r>
        <w:rPr>
          <w:color w:val="000000"/>
          <w:spacing w:val="0"/>
          <w:w w:val="100"/>
          <w:position w:val="0"/>
          <w:sz w:val="24"/>
          <w:szCs w:val="24"/>
          <w:shd w:val="clear" w:color="auto" w:fill="auto"/>
          <w:lang w:val="ru-RU" w:eastAsia="ru-RU" w:bidi="ru-RU"/>
        </w:rPr>
        <w:t>. если в описании объекта закупки содержится указание на конкретный товарный знак с возможностью поставки эквивалента, то на форме подачи заявки в поле предварительно заполнено значение из извещения. Участник может данное поле изменить, указать иной товарный знак или оставить поле пустым.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на рассмотрении жалобы по существу подателем жалобы был заявлен довод о том, что в поле «Товарный знак» невозможно удалить словосочетание «или эквивалент».</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Доказательств Комиссии представлено не было.</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Комиссией Красноярского УФАС России был сделан запрос на торговую электронную площадку АО «Сбербанк-АСТ» с разъяснениями о возможности указания участниками закупки товарного знака без словосочетания «или эквивалент» или возможность ручного ввода товарного знака.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информации, предоставленной АО «Сбербанк-АСТ» функционал электронной торговой площадки при заполнении участником структурированной формы заявки на участие в закупке позволяет выбрать товарный знак без словосочетания «или эквивалент», а также у участников закупки имелась возможность ручного ввода при указании иного товарного знака.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также изучила заявки иных участников закупки и установила, что в структурированном виде заявки участников содержат надлежащее указание на товарный знак без указания «или эквивалент».</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приходит к выводу о том, что у участников закупки имелась возможность указать наименование товарного знака в надлежащем виде. На основании вышеизложенного, Комиссия отмечает, что заявка подателя жалобы содержала противоречивую информацию, ввиду чего у заказчика отсутствовала возможность прийти к однозначному выводу о том, какой именно товар будет поставлен в рамках исполнения контракта.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приняв решение о признании заявки подателя жалобы несоответствующей, аукционная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электронного аукциона.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 признать жалобу ООО «Прометей-2000» необоснованной.</w:t>
      </w:r>
    </w:p>
    <w:p>
      <w:pPr>
        <w:pStyle w:val="Style7"/>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tabs>
          <w:tab w:pos="8705"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7"/>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М.А. Грицай</w:t>
      </w:r>
    </w:p>
    <w:p>
      <w:pPr>
        <w:pStyle w:val="Style7"/>
        <w:keepNext w:val="0"/>
        <w:keepLines w:val="0"/>
        <w:widowControl w:val="0"/>
        <w:shd w:val="clear" w:color="auto" w:fill="auto"/>
        <w:tabs>
          <w:tab w:pos="8705" w:val="left"/>
        </w:tabs>
        <w:bidi w:val="0"/>
        <w:spacing w:before="0" w:after="44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tab/>
        <w:t>М.А. Косенко</w:t>
      </w:r>
    </w:p>
    <w:p>
      <w:pPr>
        <w:pStyle w:val="Style7"/>
        <w:keepNext w:val="0"/>
        <w:keepLines w:val="0"/>
        <w:widowControl w:val="0"/>
        <w:shd w:val="clear" w:color="auto" w:fill="auto"/>
        <w:bidi w:val="0"/>
        <w:spacing w:before="0" w:after="2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Исп.Косенко М.А. тел.(391)2110144</w:t>
      </w:r>
    </w:p>
    <w:sectPr>
      <w:footnotePr>
        <w:pos w:val="pageBottom"/>
        <w:numFmt w:val="decimal"/>
        <w:numRestart w:val="continuous"/>
      </w:footnotePr>
      <w:type w:val="continuous"/>
      <w:pgSz w:w="11900" w:h="16840"/>
      <w:pgMar w:top="1029" w:right="537" w:bottom="1201"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9994265</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00000000000003pt;margin-top:786.95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2023-22256</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2023-22256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