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46"/>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7"/>
        <w:keepNext w:val="0"/>
        <w:keepLines w:val="0"/>
        <w:framePr w:w="4805" w:h="1162"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«Аметист»</w:t>
      </w:r>
    </w:p>
    <w:p>
      <w:pPr>
        <w:pStyle w:val="Style7"/>
        <w:keepNext w:val="0"/>
        <w:keepLines w:val="0"/>
        <w:framePr w:w="4805" w:h="1162"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Бассейная, д. 73, корп. 1, лит. А, пом. 32-Н, г. Санкт-Петербург, 196211</w:t>
      </w:r>
    </w:p>
    <w:p>
      <w:pPr>
        <w:pStyle w:val="Style7"/>
        <w:keepNext w:val="0"/>
        <w:keepLines w:val="0"/>
        <w:framePr w:w="4805" w:h="1162"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атей 81@атей зйзрЬ.ш</w:t>
      </w:r>
    </w:p>
    <w:p>
      <w:pPr>
        <w:pStyle w:val="Style2"/>
        <w:keepNext w:val="0"/>
        <w:keepLines w:val="0"/>
        <w:framePr w:w="2976" w:h="653" w:wrap="none" w:hAnchor="page" w:x="1726" w:y="171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7"/>
        <w:keepNext w:val="0"/>
        <w:keepLines w:val="0"/>
        <w:framePr w:w="4728" w:h="883" w:wrap="none" w:hAnchor="page" w:x="6406" w:y="138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«Красноярская краевая больница №2» ул.Карла Маркса, 43? г. Красноярск, 660097 рг@ккЬ-2.ги; тападег@ккЬ-2.ги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72" w:right="546"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ООО «РТС-тендер»</w:t>
      </w:r>
    </w:p>
    <w:p>
      <w:pPr>
        <w:pStyle w:val="Style7"/>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7"/>
        <w:keepNext w:val="0"/>
        <w:keepLines w:val="0"/>
        <w:widowControl w:val="0"/>
        <w:shd w:val="clear" w:color="auto" w:fill="auto"/>
        <w:bidi w:val="0"/>
        <w:spacing w:before="0" w:after="0" w:line="240" w:lineRule="auto"/>
        <w:ind w:left="462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114300</wp:posOffset>
                </wp:positionV>
                <wp:extent cx="307975" cy="152400"/>
                <wp:wrapSquare wrapText="right"/>
                <wp:docPr id="5" name="Shape 5"/>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wps:txbx>
                      <wps:bodyPr wrap="none" lIns="0" tIns="0" rIns="0" bIns="0">
                        <a:noAutoFit/>
                      </wps:bodyPr>
                    </wps:wsp>
                  </a:graphicData>
                </a:graphic>
              </wp:anchor>
            </w:drawing>
          </mc:Choice>
          <mc:Fallback>
            <w:pict>
              <v:shape id="_x0000_s1031" type="#_x0000_t202" style="position:absolute;margin-left:57.pt;margin-top:9.pt;width:24.25pt;height:12.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Шевченко, д.23-А</w:t>
      </w:r>
    </w:p>
    <w:p>
      <w:pPr>
        <w:pStyle w:val="Style7"/>
        <w:keepNext w:val="0"/>
        <w:keepLines w:val="0"/>
        <w:widowControl w:val="0"/>
        <w:shd w:val="clear" w:color="auto" w:fill="auto"/>
        <w:bidi w:val="0"/>
        <w:spacing w:before="0" w:after="1340" w:line="240" w:lineRule="auto"/>
        <w:ind w:left="4620" w:right="0" w:firstLine="0"/>
        <w:jc w:val="left"/>
      </w:pPr>
      <w:r>
        <w:rPr>
          <w:color w:val="000000"/>
          <w:spacing w:val="0"/>
          <w:w w:val="100"/>
          <w:position w:val="0"/>
          <w:sz w:val="24"/>
          <w:szCs w:val="24"/>
          <w:shd w:val="clear" w:color="auto" w:fill="auto"/>
          <w:lang w:val="ru-RU" w:eastAsia="ru-RU" w:bidi="ru-RU"/>
        </w:rPr>
        <w:t>ко@й8-1епйег.ш; тйэ@118-1епйеЕШ</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024/06/106-3572/2023</w:t>
      </w:r>
    </w:p>
    <w:p>
      <w:pPr>
        <w:pStyle w:val="Style7"/>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6301740</wp:posOffset>
                </wp:positionH>
                <wp:positionV relativeFrom="paragraph">
                  <wp:posOffset>25400</wp:posOffset>
                </wp:positionV>
                <wp:extent cx="905510" cy="210185"/>
                <wp:wrapSquare wrapText="left"/>
                <wp:docPr id="7" name="Shape 7"/>
                <a:graphic xmlns:a="http://schemas.openxmlformats.org/drawingml/2006/main">
                  <a:graphicData uri="http://schemas.microsoft.com/office/word/2010/wordprocessingShape">
                    <wps:wsp>
                      <wps:cNvSpPr txBox="1"/>
                      <wps:spPr>
                        <a:xfrm>
                          <a:ext cx="905510" cy="21018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6.19999999999999pt;margin-top:2.pt;width:71.299999999999997pt;height:16.550000000000001pt;z-index:-125829373;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13 декабря 2023 года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 Врио руководителя управления М.А. Дударева, члены Комиссии - начальник отдела М.А. Грицай, старший государственный инспектор М.А. Косенко (далее - Комиссия), рассмотрев жалобу ООО «Аметист» (далее - Податель жалобы) на действия котировочной комиссии КГБУЗ «Красноярская краевая больница №2» (далее - Заказчик) при определении поставщика (подрядчика, исполнителя) путем проведения запроса котировок в электронной форме «Интерактивная панель» с извещением № 0319300222523000233 (далее - Запрос котировок), размещенного на электронной площадке ООО «РТС-тендер»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на действия котировочной комиссии при проведении Запроса котировок.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Существо жалобы: нарушение котировочной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Запроса котировок.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статьи 105 указанного закона, в связи с чем была принята к рассмотрению.</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адрес Заказчика,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рассмотрении жалобы по существу заказчик обеспечил явку своего представителя, надлежащим образом подтвердившего свои полномочия и личность.</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Податель жалобы явку своего представителя не обеспечил, ходатайств не направлял.</w:t>
      </w:r>
    </w:p>
    <w:p>
      <w:pPr>
        <w:pStyle w:val="Style7"/>
        <w:keepNext w:val="0"/>
        <w:keepLines w:val="0"/>
        <w:widowControl w:val="0"/>
        <w:shd w:val="clear" w:color="auto" w:fill="auto"/>
        <w:bidi w:val="0"/>
        <w:spacing w:before="0" w:after="140" w:line="240" w:lineRule="auto"/>
        <w:ind w:left="0" w:right="0" w:firstLine="700"/>
        <w:jc w:val="both"/>
      </w:pPr>
      <w:r>
        <w:rPr>
          <w:color w:val="000000"/>
          <w:spacing w:val="0"/>
          <w:w w:val="100"/>
          <w:position w:val="0"/>
          <w:sz w:val="24"/>
          <w:szCs w:val="24"/>
          <w:shd w:val="clear" w:color="auto" w:fill="auto"/>
          <w:lang w:val="ru-RU" w:eastAsia="ru-RU" w:bidi="ru-RU"/>
        </w:rPr>
        <w:t>Из доводов жалобы следует, что котировочная комиссия неправомерно признала победителем запроса котировок участника, который, по мнению подателя жалобы, не подтвердил соответствующий требованиям извещения, уровень радиоэлектронной продукции.</w:t>
      </w:r>
    </w:p>
    <w:p>
      <w:pPr>
        <w:pStyle w:val="Style13"/>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связи с возникшей потребностью Заказчика Уполномоченным органом были совершены действия по определению поставщика (подрядчика, исполнителя) путем проведения Запроса котировок, объектом закупки является интерактивная панель, Заказчиком применена позиция КТРУ 26.20.13.000-00000002 «Интерактивная панель».</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 14 части 1 статьи 42 Закона о контрактной системе устанавливает,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анализа извещения Запроса котировок следует, что Заказчиком установлены ограничения допуска согласно Постановлению Правительства Российской Федерации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2 Постановления №878 установлено, что Постановлением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анализа Перечня следует, что объект закупки «Интерактивная панель» включен в позицию 7 Перечня - «Машины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ОКПД2 26.20.13.</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3(1) Постановления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Перечня,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и которая одновременно:</w:t>
      </w:r>
    </w:p>
    <w:p>
      <w:pPr>
        <w:pStyle w:val="Style7"/>
        <w:keepNext w:val="0"/>
        <w:keepLines w:val="0"/>
        <w:widowControl w:val="0"/>
        <w:numPr>
          <w:ilvl w:val="0"/>
          <w:numId w:val="1"/>
        </w:numPr>
        <w:shd w:val="clear" w:color="auto" w:fill="auto"/>
        <w:tabs>
          <w:tab w:pos="88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7"/>
        <w:keepNext w:val="0"/>
        <w:keepLines w:val="0"/>
        <w:widowControl w:val="0"/>
        <w:numPr>
          <w:ilvl w:val="0"/>
          <w:numId w:val="1"/>
        </w:numPr>
        <w:shd w:val="clear" w:color="auto" w:fill="auto"/>
        <w:tabs>
          <w:tab w:pos="88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3(2) Постановления №878 установлено, что, за исключением случаев, установленных Постановлением №878:</w:t>
      </w:r>
    </w:p>
    <w:p>
      <w:pPr>
        <w:pStyle w:val="Style7"/>
        <w:keepNext w:val="0"/>
        <w:keepLines w:val="0"/>
        <w:widowControl w:val="0"/>
        <w:numPr>
          <w:ilvl w:val="0"/>
          <w:numId w:val="1"/>
        </w:numPr>
        <w:shd w:val="clear" w:color="auto" w:fill="auto"/>
        <w:tabs>
          <w:tab w:pos="89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7"/>
        <w:keepNext w:val="0"/>
        <w:keepLines w:val="0"/>
        <w:widowControl w:val="0"/>
        <w:numPr>
          <w:ilvl w:val="0"/>
          <w:numId w:val="1"/>
        </w:numPr>
        <w:shd w:val="clear" w:color="auto" w:fill="auto"/>
        <w:tabs>
          <w:tab w:pos="88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3(3) Постановления №878 установлено, что для подтверждения соответствия радиоэлектронной продукции требованиям, предусмотренным пунктом 3(2) Постановления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Подпункт 5 части 1 статьи 43 Закона о контрактной системе следует,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Подпункт 5 части 1 статьи 43 Закона о контрактной также устанавливает, что в случае отсутствия указанных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анализа заявок, поданных на участие в Запросе котировок,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№115467919 содержала предложение о поставке товара со страной происхождения Российская Федерация, реестровая запись № 2455\8\2023, первый уровень продукции, производитель ООО «Биэм Групп Интегратор».</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№115466129 содержала предложение о поставке товара со страной происхождения Российская Федерация, однако в составе заявки отсутствовала выписка из реестра Российской радиоэлектронной продукции.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№115413339 содержала предложение о поставке товара со страной происхождения Российская Федерация, реестровая запись 3796\1\2023, второй уровень продукции, производитель ООО «НЕКС-Т».</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№115471570 содержала предложение о поставке товара со страной происхождения Российская Федерация, реестровая запись 5652\1\2022, номер уровня продукции в выписке отсутствует.</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 учетом изложенного, Комиссия пришла к выводу о том, что в ходе проведения Запроса котировок возникли условия для применения пункта 3(1) Постановления №878, ввиду чего все заявки кроме заявки №115438288 подлежали отклонению.</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Подпункт «а» пункта 1 части 3 статьи 50 Закона о контрактной системе устанавливает, что </w:t>
      </w:r>
      <w:r>
        <w:rPr>
          <w:color w:val="000000"/>
          <w:spacing w:val="0"/>
          <w:w w:val="100"/>
          <w:position w:val="0"/>
          <w:sz w:val="24"/>
          <w:szCs w:val="24"/>
          <w:shd w:val="clear" w:color="auto" w:fill="auto"/>
          <w:lang w:val="ru-RU" w:eastAsia="ru-RU" w:bidi="ru-RU"/>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указанной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4 части 12 статьи 48 Закона о контрактной системе установлено основание для отклонения заявки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Пунктом 5 части 12 статьи 48 Закона о контрактной системе установлено основание для отклонения заявки в случае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отмечает, что Постановлением №878 установлено ограничение допуска товаров, ввиду чего надлежащим основанием для отклонения заявок в случае возникновения условий для применения пункта 3(1) Постановления №878 является пункт 4 части 12 статьи 48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анализа протокола подведения итогов определения поставщика от 01.12.2023 №ИЗК1 следует, что по результатам рассмотрения заявок принято решение о признании только одной заявки №115438288 соответствующей требованиям.</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Комиссия приходит к выводу о том, что котировочная комиссия правомерно признала заявку победителя запроса котировок соответствующей требованиям извещения, поскольку лишь заявка победителя запроса котировок содержала выписку из реестра Российской радиоэлектронной продукции с 1 уровнем.</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«Аметист» необоснованной.</w:t>
      </w:r>
    </w:p>
    <w:p>
      <w:pPr>
        <w:pStyle w:val="Style7"/>
        <w:keepNext w:val="0"/>
        <w:keepLines w:val="0"/>
        <w:widowControl w:val="0"/>
        <w:shd w:val="clear" w:color="auto" w:fill="auto"/>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tabs>
          <w:tab w:pos="8640"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7"/>
        <w:keepNext w:val="0"/>
        <w:keepLines w:val="0"/>
        <w:widowControl w:val="0"/>
        <w:shd w:val="clear" w:color="auto" w:fill="auto"/>
        <w:tabs>
          <w:tab w:pos="8880"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М.А. Грицай</w:t>
      </w:r>
    </w:p>
    <w:p>
      <w:pPr>
        <w:pStyle w:val="Style7"/>
        <w:keepNext w:val="0"/>
        <w:keepLines w:val="0"/>
        <w:widowControl w:val="0"/>
        <w:shd w:val="clear" w:color="auto" w:fill="auto"/>
        <w:bidi w:val="0"/>
        <w:spacing w:before="0" w:after="1900" w:line="240" w:lineRule="auto"/>
        <w:ind w:left="0" w:right="0" w:firstLine="0"/>
        <w:jc w:val="right"/>
      </w:pPr>
      <w:r>
        <w:rPr>
          <w:color w:val="000000"/>
          <w:spacing w:val="0"/>
          <w:w w:val="100"/>
          <w:position w:val="0"/>
          <w:sz w:val="24"/>
          <w:szCs w:val="24"/>
          <w:shd w:val="clear" w:color="auto" w:fill="auto"/>
          <w:lang w:val="ru-RU" w:eastAsia="ru-RU" w:bidi="ru-RU"/>
        </w:rPr>
        <w:t>М.А. Косенко</w:t>
      </w:r>
    </w:p>
    <w:p>
      <w:pPr>
        <w:pStyle w:val="Style7"/>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Исп.Косенко М.А. тел.(391)2110144</w:t>
      </w:r>
    </w:p>
    <w:sectPr>
      <w:footnotePr>
        <w:pos w:val="pageBottom"/>
        <w:numFmt w:val="decimal"/>
        <w:numRestart w:val="continuous"/>
      </w:footnotePr>
      <w:type w:val="continuous"/>
      <w:pgSz w:w="11900" w:h="16840"/>
      <w:pgMar w:top="1051" w:right="542" w:bottom="1223"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9980295</wp:posOffset>
              </wp:positionV>
              <wp:extent cx="719455" cy="100330"/>
              <wp:wrapNone/>
              <wp:docPr id="1" name="Shape 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2023-22245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5.85000000000002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2023-22245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2023-22245</w:t>
                          </w:r>
                        </w:p>
                      </w:txbxContent>
                    </wps:txbx>
                    <wps:bodyPr wrap="none" lIns="0" tIns="0" rIns="0" bIns="0">
                      <a:spAutoFit/>
                    </wps:bodyPr>
                  </wps:wsp>
                </a:graphicData>
              </a:graphic>
            </wp:anchor>
          </w:drawing>
        </mc:Choice>
        <mc:Fallback>
          <w:pict>
            <v:shape id="_x0000_s1029"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