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Тожибаев З.П.</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Малышева, 77, 40, г. Екатеринбург, 620075 ^р. 2аИМ2коп@дтаП.сот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ФКУ «ГБ МСЭ по Красноярскому краю» Минтруда РоссииФКУ «ГБ МСЭ по Красноярскому краю» Минтруда России ул. Дубровинского, д. 54А, г. Красноярск, 660049</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ехрег!@т§е24.ги; 2акирИ@т§е.ги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«ЭТП ТЭК-Торг»</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Ие1р@1:ек1:огд.ги</w:t>
      </w:r>
    </w:p>
    <w:p>
      <w:pPr>
        <w:pStyle w:val="Style13"/>
        <w:keepNext w:val="0"/>
        <w:keepLines w:val="0"/>
        <w:widowControl w:val="0"/>
        <w:shd w:val="clear" w:color="auto" w:fill="auto"/>
        <w:bidi w:val="0"/>
        <w:spacing w:before="0" w:after="0" w:line="240" w:lineRule="auto"/>
        <w:ind w:left="0" w:right="0" w:firstLine="0"/>
        <w:jc w:val="left"/>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284" w:right="733" w:bottom="1217" w:left="1140" w:header="0" w:footer="3" w:gutter="0"/>
          <w:pgNumType w:start="1"/>
          <w:cols w:num="2" w:space="720" w:equalWidth="0">
            <w:col w:w="4090" w:space="1171"/>
            <w:col w:w="4766"/>
          </w:cols>
          <w:noEndnote/>
          <w:titlePg/>
          <w:rtlGutter w:val="0"/>
          <w:docGrid w:linePitch="360"/>
        </w:sectPr>
      </w:pPr>
      <w:r>
        <w:rPr>
          <w:color w:val="000000"/>
          <w:spacing w:val="0"/>
          <w:w w:val="100"/>
          <w:position w:val="0"/>
          <w:shd w:val="clear" w:color="auto" w:fill="auto"/>
          <w:lang w:val="ru-RU" w:eastAsia="ru-RU" w:bidi="ru-RU"/>
        </w:rPr>
        <w:t>Извещение №0819100000823000024</w:t>
      </w:r>
    </w:p>
    <w:p>
      <w:pPr>
        <w:widowControl w:val="0"/>
        <w:spacing w:line="157" w:lineRule="exact"/>
        <w:rPr>
          <w:sz w:val="13"/>
          <w:szCs w:val="13"/>
        </w:rPr>
      </w:pPr>
    </w:p>
    <w:p>
      <w:pPr>
        <w:widowControl w:val="0"/>
        <w:spacing w:line="1" w:lineRule="exact"/>
        <w:sectPr>
          <w:footnotePr>
            <w:pos w:val="pageBottom"/>
            <w:numFmt w:val="decimal"/>
            <w:numRestart w:val="continuous"/>
          </w:footnotePr>
          <w:type w:val="continuous"/>
          <w:pgSz w:w="11900" w:h="16840"/>
          <w:pgMar w:top="879" w:right="0" w:bottom="821"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 №024/06/106-3588/2023</w:t>
      </w:r>
    </w:p>
    <w:p>
      <w:pPr>
        <w:pStyle w:val="Style13"/>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5923915</wp:posOffset>
                </wp:positionH>
                <wp:positionV relativeFrom="paragraph">
                  <wp:posOffset>25400</wp:posOffset>
                </wp:positionV>
                <wp:extent cx="1283335" cy="228600"/>
                <wp:wrapSquare wrapText="left"/>
                <wp:docPr id="9" name="Shape 9"/>
                <a:graphic xmlns:a="http://schemas.openxmlformats.org/drawingml/2006/main">
                  <a:graphicData uri="http://schemas.microsoft.com/office/word/2010/wordprocessingShape">
                    <wps:wsp>
                      <wps:cNvSpPr txBox="1"/>
                      <wps:spPr>
                        <a:xfrm>
                          <a:ext cx="1283335" cy="228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город Красноярск</w:t>
                            </w:r>
                          </w:p>
                        </w:txbxContent>
                      </wps:txbx>
                      <wps:bodyPr wrap="none" lIns="0" tIns="0" rIns="0" bIns="0">
                        <a:noAutoFit/>
                      </wps:bodyPr>
                    </wps:wsp>
                  </a:graphicData>
                </a:graphic>
              </wp:anchor>
            </w:drawing>
          </mc:Choice>
          <mc:Fallback>
            <w:pict>
              <v:shape id="_x0000_s1035" type="#_x0000_t202" style="position:absolute;margin-left:466.44999999999999pt;margin-top:2.pt;width:101.05pt;height:18.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город Красноярск</w:t>
                      </w:r>
                    </w:p>
                  </w:txbxContent>
                </v:textbox>
                <w10:wrap type="square" side="left" anchorx="page"/>
              </v:shape>
            </w:pict>
          </mc:Fallback>
        </mc:AlternateContent>
      </w:r>
      <w:r>
        <w:rPr>
          <w:color w:val="000000"/>
          <w:spacing w:val="0"/>
          <w:w w:val="100"/>
          <w:position w:val="0"/>
          <w:shd w:val="clear" w:color="auto" w:fill="auto"/>
          <w:lang w:val="ru-RU" w:eastAsia="ru-RU" w:bidi="ru-RU"/>
        </w:rPr>
        <w:t>14 декабря 2023 года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Красноярского УФАС России по контролю в сфере закупок в составе: Председатель - Заместитель руководителя управления Дударева М.А., члены Комиссии: начальник отдела М.А. Грицай, специалист-эксперт И.М. Болотова (далее - Комиссия), рассмотрев жалобу ИП Тожибаев З.П. (далее - Податель жалобы) на действия ФКУ «Главное бюро медико-социальной экспертизы по Красноярскому краю» Министерства труда и социальной защиты Российской Федерации (далее - Заказчик) при определении поставщика (подрядчика, исполнителя) путем проведения открытого конкурса в электронной форме «Оказание услуг по охране нежилых помещений» с извещением №0819100000823000024 (далее - Конкурс), размещенного на электронной площадке АО «ЭТП ТЭК-Торг»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адрес Красноярского УФАС России поступила жалоба на действия Заказчика при проведении Конкурса.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Существо жалобы: несоответствие извещения Конкурса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Жалоба была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адрес Заказчика, Подателя жалобы, Оператора электронной площадки были направлены уведомления о содержании жалобы с информацией о месте и времени рассмотрения жалобы.</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по существу было проведено в присутствии представителя Заказчика. Податель жалобы явку своего представителя не обеспечил.</w:t>
      </w:r>
    </w:p>
    <w:p>
      <w:pPr>
        <w:pStyle w:val="Style13"/>
        <w:keepNext w:val="0"/>
        <w:keepLines w:val="0"/>
        <w:widowControl w:val="0"/>
        <w:shd w:val="clear" w:color="auto" w:fill="auto"/>
        <w:bidi w:val="0"/>
        <w:spacing w:before="0" w:after="220" w:line="240" w:lineRule="auto"/>
        <w:ind w:left="0" w:right="0" w:firstLine="700"/>
        <w:jc w:val="both"/>
      </w:pPr>
      <w:r>
        <w:rPr>
          <w:color w:val="000000"/>
          <w:spacing w:val="0"/>
          <w:w w:val="100"/>
          <w:position w:val="0"/>
          <w:shd w:val="clear" w:color="auto" w:fill="auto"/>
          <w:lang w:val="ru-RU" w:eastAsia="ru-RU" w:bidi="ru-RU"/>
        </w:rPr>
        <w:t>Из содержания жалобы следует, что извещение составлено с нарушением требований Закона о контрактной системе, а именно:</w:t>
      </w:r>
    </w:p>
    <w:p>
      <w:pPr>
        <w:pStyle w:val="Style15"/>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w:t>
      </w:r>
      <w:bookmarkEnd w:id="0"/>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Заказчиком неправомерно не установлены дополнительные требования к участникам закупки согласно приложению к Постановлению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 далее — Постановление № 2571);</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 Порядок оценки заявок в Конкурсе не соответствует требованиям 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Конкурса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 относительно первого довода жалобы.</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связи с возникшей потребностью Заказчиком были совершены действия по определению поставщика (подрядчика, исполнителя) путем проведения Конкурса. Объектом закупки является оказание охранных услуг нежилых помещений.</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Пункт «н» части 1 статьи 43 Закона о контрактной системе устанавливает, что для участия в конкурентном способе заявка на участие в закупке, если иное не предусмотрено Законом о контрактной системе, должна содержать документы, подтверждающие соответствие участника закупки требованиям, установленным пунктом 1 части 1 статьи 31 Закон о контрактной системе,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 о контрактной системе, если иное не предусмотрено Закон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3"/>
        <w:keepNext w:val="0"/>
        <w:keepLines w:val="0"/>
        <w:widowControl w:val="0"/>
        <w:numPr>
          <w:ilvl w:val="0"/>
          <w:numId w:val="1"/>
        </w:numPr>
        <w:shd w:val="clear" w:color="auto" w:fill="auto"/>
        <w:tabs>
          <w:tab w:pos="102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3"/>
        <w:keepNext w:val="0"/>
        <w:keepLines w:val="0"/>
        <w:widowControl w:val="0"/>
        <w:numPr>
          <w:ilvl w:val="0"/>
          <w:numId w:val="1"/>
        </w:numPr>
        <w:shd w:val="clear" w:color="auto" w:fill="auto"/>
        <w:tabs>
          <w:tab w:pos="102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3"/>
        <w:keepNext w:val="0"/>
        <w:keepLines w:val="0"/>
        <w:widowControl w:val="0"/>
        <w:numPr>
          <w:ilvl w:val="0"/>
          <w:numId w:val="1"/>
        </w:numPr>
        <w:shd w:val="clear" w:color="auto" w:fill="auto"/>
        <w:tabs>
          <w:tab w:pos="104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3"/>
        <w:keepNext w:val="0"/>
        <w:keepLines w:val="0"/>
        <w:widowControl w:val="0"/>
        <w:numPr>
          <w:ilvl w:val="0"/>
          <w:numId w:val="1"/>
        </w:numPr>
        <w:shd w:val="clear" w:color="auto" w:fill="auto"/>
        <w:tabs>
          <w:tab w:pos="102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момент размещения извещения дополнительные требования в соответствии с пунктом 2 статьи 31 Закона о контрактной системе установлены Постановлением № 2571.</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 анализа извещения Конкурса следует, что аказчикам в электронном документе «Требования к содержанию и составу заявки на участие в закупке. Инструкция по ее заполнению» установлено требование к представлению документов, подтверждающих у участника закупки опыта выполнения работ по позиции 34 приложении к Постановлению 2571 «Услуги по обеспечению охраны объектов (территорий)».</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Пункт 12 части 1 статьи 42 Закона о контрактной системе устанавливает,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r>
        <w:rPr>
          <w:color w:val="000000"/>
          <w:spacing w:val="0"/>
          <w:w w:val="100"/>
          <w:position w:val="0"/>
          <w:shd w:val="clear" w:color="auto" w:fill="auto"/>
          <w:lang w:val="ru-RU" w:eastAsia="ru-RU" w:bidi="ru-RU"/>
        </w:rPr>
        <w:t>содержащее информацию о требованиях, предъявляемые к участникам закупки в соответствии с частью 1 статьи 31 настоящего Закона о контрактной системе, требования, предъявляемые к участникам закупки в соответствии с частями 2 и 2.1 (при наличии таких требований) статьи 31 настоящего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Комиссией установлено, что к участникам закупки в извещении не были установлены дополнительные требования на основании части 2 статьи 31 Закона о контрактной системе и Постановления № 2571, что с учетом объекта закупки и начальной (максимальной) цены контракта свидетельствует о нарушении требований пункта 12 части 1 статьи 42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Ввиду изложенного первый довод жалобы является обоснованным.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Относительно второго довода жалобы Комиссией установлено следующее.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4 части 2 статьи 42 Закона о контрактной системе предусмотрено,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утверждено положение о правилах оценки заявок (далее — Положение).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требований подпункта «а» пункта 35 Положения следует, что при осуществлении закупки, по результатам проведения которой заключается контракт на оказание услуг по обеспечению охраны объектов (территорий) подлежит обязательному применению показатель оценки, предусмотренный подпунктом «в» пункта 24 Положения.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 предусмотренному подпунктом «г» пункта 3 Положения.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пункта 2 Положения следует, что «значимость показателя оценки» - это вес показателя оценки в процентах в совокупности всех показателей оценки, детализирующих оценку заявок по соответствующему критерию оценки.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 24 Положения устанавливает, что для оценки заявок по критерию оценки, предусмотренного подпунктом «г» пункта 3 Положения «квалификация участников закупки» могут применяться, если иное не предусмотрено Положением, один или несколько из следующих показателей оценки:</w:t>
      </w:r>
    </w:p>
    <w:p>
      <w:pPr>
        <w:pStyle w:val="Style13"/>
        <w:keepNext w:val="0"/>
        <w:keepLines w:val="0"/>
        <w:widowControl w:val="0"/>
        <w:numPr>
          <w:ilvl w:val="0"/>
          <w:numId w:val="3"/>
        </w:numPr>
        <w:shd w:val="clear" w:color="auto" w:fill="auto"/>
        <w:tabs>
          <w:tab w:pos="105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финансовых ресурсов;</w:t>
      </w:r>
    </w:p>
    <w:p>
      <w:pPr>
        <w:pStyle w:val="Style13"/>
        <w:keepNext w:val="0"/>
        <w:keepLines w:val="0"/>
        <w:widowControl w:val="0"/>
        <w:numPr>
          <w:ilvl w:val="0"/>
          <w:numId w:val="3"/>
        </w:numPr>
        <w:shd w:val="clear" w:color="auto" w:fill="auto"/>
        <w:tabs>
          <w:tab w:pos="106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13"/>
        <w:keepNext w:val="0"/>
        <w:keepLines w:val="0"/>
        <w:widowControl w:val="0"/>
        <w:numPr>
          <w:ilvl w:val="0"/>
          <w:numId w:val="3"/>
        </w:numPr>
        <w:shd w:val="clear" w:color="auto" w:fill="auto"/>
        <w:tabs>
          <w:tab w:pos="105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13"/>
        <w:keepNext w:val="0"/>
        <w:keepLines w:val="0"/>
        <w:widowControl w:val="0"/>
        <w:numPr>
          <w:ilvl w:val="0"/>
          <w:numId w:val="3"/>
        </w:numPr>
        <w:shd w:val="clear" w:color="auto" w:fill="auto"/>
        <w:tabs>
          <w:tab w:pos="1058"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наличие у участников закупки деловой репутации;</w:t>
      </w:r>
    </w:p>
    <w:p>
      <w:pPr>
        <w:pStyle w:val="Style13"/>
        <w:keepNext w:val="0"/>
        <w:keepLines w:val="0"/>
        <w:widowControl w:val="0"/>
        <w:numPr>
          <w:ilvl w:val="0"/>
          <w:numId w:val="3"/>
        </w:numPr>
        <w:shd w:val="clear" w:color="auto" w:fill="auto"/>
        <w:tabs>
          <w:tab w:pos="105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Проанализировав порядок оценки заявок на участие в Конкурсе, Комиссия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критерию оценки «Квалификация участников закупки» Заказчиком применен показатель оценки, предусмотренный подпунктом «в» пункта 24 Положения «наличие у участников закупки опыта поставки товара, выполнения работы, оказания услуги, связанного с предметом контракта» со значимостью показателя оценки - 40%, и показатель оценки, предусмотренный подпунктом «г» пункта 24 Положения «наличие у участников закупки деловой репутации», показатель оценки, предусмотренный подпунктом «г» пункта 24 Положения «наличие у участников закупки деловой репутации» со значимостью показателя оценки — 60%.</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Ввиду изложенного Комиссия приходит к выводу о том, что Заказчиком были нарушены требования подпункта «а» пункта 35 Положения, поскольку величина значимости показателя оценки «наличие у участников закупки опыта поставки товара, выполнения работы, оказания услуги, связанного с предметом контракта» составляет менее 60 процентов суммы величин значимости всех применяемых показателей оценки по критерию оценки «Квалификация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требований подпункта «в» пункта 28 Положения следует, что в случае применения показателя оценки, предусмотренного подпунктом «в» пункта 24 Положения документом, предусмотренным приложением № 1 Положению (порядок оценки заявок)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требований подпункта «б» пункта 35 Положения следует, что при осуществлении закупки, по результатам проведения которой заключается контракт на оказание услуг по обеспечению охраны объектов (территорий) документом, предусмотренным приложением № 1 к Положению (порядок оценки заявок)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оказание услуг по обеспечению охраны объектов (территорий).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анализа порядка оценки заявок на участие в Конкурсе, Комиссия установила, что Заказчиком установлено следующее условие: «Участнику конкурса для оценки заявок по показателю «Опыта работы, связанного с предметом контракта» необходимо указать количество успешно заключенных и исполненных контрактов (договоров) со всеми приложениями за последние 3 года, предшествующие дате окончания срока подачи заявок на участие в настоящем конкурсе в электронной форме с ценой контракта (договора) не менее 20% от начальной (максимальной) цены контракта (договора), указанной в настоящей конкурсной документации, предмет которых сопоставим* по характеру и объему с предметом настоящего конкурса, и выполнены в полном объеме (указывается количество контрактов (договоров). Срок оказания услуг по каждому такому контракту (договору) должен быть не менее 1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*Под сопоставимой услугой в настоящем конкурсе считаются успешно оказанные услуги по физической охране зданий и (или) помещений государственных учреждений и </w:t>
      </w:r>
      <w:r>
        <w:rPr>
          <w:color w:val="000000"/>
          <w:spacing w:val="0"/>
          <w:w w:val="100"/>
          <w:position w:val="0"/>
          <w:shd w:val="clear" w:color="auto" w:fill="auto"/>
          <w:lang w:val="ru-RU" w:eastAsia="ru-RU" w:bidi="ru-RU"/>
        </w:rPr>
        <w:t>предприятий, с выставлением постов физической охраны внутри зданий (помещений) со сроком оказания услуг по каждому такому контракту (договору) не менее 1 года, без применения к такому исполнителю (участнику закупки) неустоек (штрафов, пеней)».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 учетом того, что подпунктом «б» пункта 35 Положения установлен, что Заказчику надлежит указать на возможность принятия к оценке исключительно исполненного договора (договоров), предусматривающего оказание услуг по обеспечению охраны объектов (территорий), право Заказчика на определение и детализацию критерия «сопоставимого» договора, предусмотренное подпунктом «в» пункта 28 Положения, в рассматриваемом случае применению не подлежит.</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из требований подпункта «г» пункта 28 Положения следует, что в случае применения показателя оценки, предусмотренного подпунктом «в» пункта 24 Положения последний акт, составленный при исполнении договора и предусмотренный абзацем третьим подпункта «в» указанного пункта, должен быть подписан не ранее чем за 5 лет до даты окончания срока подачи заявок.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указанного следует, что Положением предусмотрена возможность представления в качестве подтверждения опыта по показателя оценки «наличие у участников закупки опыта поставки товара, выполнения работы, оказания услуги, связанного с предметом контракта» договоров, исполненных не ранее чем за 5 лет до даты окончания срока подачи заявок на участие.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порядок оценки заявок на участие в Конкурсе содержит следующее условие: «Участнику конкурса для оценки заявок по показателю «Опыта работы, связанного с предметом контракта» необходимо указать количество успешно заключенных и исполненных контрактов (договоров) со всеми приложениями за последние 3 года, предшествующие дате окончания срока подачи заявок», что ограничивает право участников закупки, предусмотренное подпунктом «г» пункта 28 Положения, на представление договоров, исполненных не ранее чем за 5 лет до даты окончания срока подачи заявок на участие.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из требований подпункта «в» пункта 28 Положения также следует, в случае применения показателя оценки, предусмотренного подпунктом «в» пункта 24 Положения документом, предусмотренным приложением № 1 Положению (порядок оценки заявок)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указанная норма позволяет Заказчику ограничить возможность подтверждения частником закупки опыта исполнения договоров лишь представлением договоров, по которым поставщиком (подрядчиком, исполнителем) исполнены требования об уплате неустоек (штрафов, пеней) (в случае начисления неустоек).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Однако порядок оценки заявок на участие в Конкурсе содержит указание на то, что представленные участниками закупки договоры должны быть исполнены «без применения к такому исполнителю (участнику закупки) неустоек (штрафов, пеней)», то есть участником закупки могут быть представлены исключительно договоры без применения неустоек (штрафов, пеней) вне зависимости от обстоятельства их оплаты, что не коррелирует требованиям подпункта «в» пункта 28 Положения.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порядок оценки заявок на участие в Конкурсе не содержит положения, предусмотренного подпунктом «д» пункта 28 Положения о том, что к оценке</w:t>
        <w:br w:type="page"/>
      </w:r>
      <w:r>
        <w:rPr>
          <w:color w:val="000000"/>
          <w:spacing w:val="0"/>
          <w:w w:val="100"/>
          <w:position w:val="0"/>
          <w:shd w:val="clear" w:color="auto" w:fill="auto"/>
          <w:lang w:val="ru-RU" w:eastAsia="ru-RU" w:bidi="ru-RU"/>
        </w:rPr>
        <w:t>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Учитывая изложенное, Комиссия приходит к выводу, что Заказчиком сформирован ненадлежащий порядок оценки и рассмотрения оценки заявок на участие в Конкурсе, что свидетельствует о нарушении Заказчиком требований пункта 4 части 2 статьи 42 Закона о контрактной системе, ввиду чего второй довод жалобы является обоснованным.</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Выявленные же нарушения требований Закона о контрактной системе содержат признаки состава административного правонарушения, предусмотренного часть 1.4 статьи 7.30 Кодекса об административных правонарушениях Российской Федерации.</w:t>
      </w:r>
    </w:p>
    <w:p>
      <w:pPr>
        <w:pStyle w:val="Style13"/>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частью 8 статьи 106 Закона о контрактной системе, Комиссия Красноярского УФАС России решила:</w:t>
      </w:r>
    </w:p>
    <w:p>
      <w:pPr>
        <w:pStyle w:val="Style13"/>
        <w:keepNext w:val="0"/>
        <w:keepLines w:val="0"/>
        <w:widowControl w:val="0"/>
        <w:numPr>
          <w:ilvl w:val="0"/>
          <w:numId w:val="5"/>
        </w:numPr>
        <w:shd w:val="clear" w:color="auto" w:fill="auto"/>
        <w:tabs>
          <w:tab w:pos="104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ИП Тожибаева З.П. обоснованной;</w:t>
      </w:r>
    </w:p>
    <w:p>
      <w:pPr>
        <w:pStyle w:val="Style13"/>
        <w:keepNext w:val="0"/>
        <w:keepLines w:val="0"/>
        <w:widowControl w:val="0"/>
        <w:numPr>
          <w:ilvl w:val="0"/>
          <w:numId w:val="5"/>
        </w:numPr>
        <w:shd w:val="clear" w:color="auto" w:fill="auto"/>
        <w:tabs>
          <w:tab w:pos="104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Заказчика нарушившим требования статьи 42 Закона о контрактной системе.</w:t>
      </w:r>
    </w:p>
    <w:p>
      <w:pPr>
        <w:pStyle w:val="Style13"/>
        <w:keepNext w:val="0"/>
        <w:keepLines w:val="0"/>
        <w:widowControl w:val="0"/>
        <w:numPr>
          <w:ilvl w:val="0"/>
          <w:numId w:val="5"/>
        </w:numPr>
        <w:shd w:val="clear" w:color="auto" w:fill="auto"/>
        <w:tabs>
          <w:tab w:pos="105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Выдать Заказчику предписание об устранении выявленных нарушений путем внесения изменений в извещение Конкурса.</w:t>
      </w:r>
    </w:p>
    <w:p>
      <w:pPr>
        <w:pStyle w:val="Style13"/>
        <w:keepNext w:val="0"/>
        <w:keepLines w:val="0"/>
        <w:widowControl w:val="0"/>
        <w:numPr>
          <w:ilvl w:val="0"/>
          <w:numId w:val="5"/>
        </w:numPr>
        <w:shd w:val="clear" w:color="auto" w:fill="auto"/>
        <w:tabs>
          <w:tab w:pos="105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Конкурсной комиссии, Уполномоченному органу, Заказчику, Оператору электронной площадки отменить все протоколы, составленные в ходе проведения</w:t>
      </w:r>
    </w:p>
    <w:p>
      <w:pPr>
        <w:pStyle w:val="Style13"/>
        <w:keepNext w:val="0"/>
        <w:keepLines w:val="0"/>
        <w:widowControl w:val="0"/>
        <w:numPr>
          <w:ilvl w:val="0"/>
          <w:numId w:val="5"/>
        </w:numPr>
        <w:shd w:val="clear" w:color="auto" w:fill="auto"/>
        <w:tabs>
          <w:tab w:pos="105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Продлить срок подачи заявок на участие в Конкурсе не менее, чем на 10 дней со дня размещения измененного извещения о закупке.</w:t>
      </w:r>
    </w:p>
    <w:p>
      <w:pPr>
        <w:pStyle w:val="Style13"/>
        <w:keepNext w:val="0"/>
        <w:keepLines w:val="0"/>
        <w:widowControl w:val="0"/>
        <w:numPr>
          <w:ilvl w:val="0"/>
          <w:numId w:val="5"/>
        </w:numPr>
        <w:shd w:val="clear" w:color="auto" w:fill="auto"/>
        <w:tabs>
          <w:tab w:pos="105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Передать материалы по жалобе и результатам проведения внеплановой проверки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w:t>
      </w:r>
    </w:p>
    <w:p>
      <w:pPr>
        <w:pStyle w:val="Style13"/>
        <w:keepNext w:val="0"/>
        <w:keepLines w:val="0"/>
        <w:widowControl w:val="0"/>
        <w:shd w:val="clear" w:color="auto" w:fill="auto"/>
        <w:bidi w:val="0"/>
        <w:spacing w:before="0" w:after="26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6100445</wp:posOffset>
                </wp:positionH>
                <wp:positionV relativeFrom="paragraph">
                  <wp:posOffset>12700</wp:posOffset>
                </wp:positionV>
                <wp:extent cx="1090930" cy="609600"/>
                <wp:wrapSquare wrapText="left"/>
                <wp:docPr id="11" name="Shape 11"/>
                <a:graphic xmlns:a="http://schemas.openxmlformats.org/drawingml/2006/main">
                  <a:graphicData uri="http://schemas.microsoft.com/office/word/2010/wordprocessingShape">
                    <wps:wsp>
                      <wps:cNvSpPr txBox="1"/>
                      <wps:spPr>
                        <a:xfrm>
                          <a:ext cx="1090930" cy="609600"/>
                        </a:xfrm>
                        <a:prstGeom prst="rect"/>
                        <a:noFill/>
                      </wps:spPr>
                      <wps:txbx>
                        <w:txbxContent>
                          <w:p>
                            <w:pPr>
                              <w:pStyle w:val="Style13"/>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М.А. Дударева</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М.А. Грицай</w:t>
                            </w:r>
                          </w:p>
                        </w:txbxContent>
                      </wps:txbx>
                      <wps:bodyPr lIns="0" tIns="0" rIns="0" bIns="0">
                        <a:noAutoFit/>
                      </wps:bodyPr>
                    </wps:wsp>
                  </a:graphicData>
                </a:graphic>
              </wp:anchor>
            </w:drawing>
          </mc:Choice>
          <mc:Fallback>
            <w:pict>
              <v:shape id="_x0000_s1037" type="#_x0000_t202" style="position:absolute;margin-left:480.35000000000002pt;margin-top:1.pt;width:85.900000000000006pt;height:48.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М.А. Дударева</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М.А. Грицай</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3360" w:line="240" w:lineRule="auto"/>
        <w:ind w:left="0" w:right="0" w:firstLine="0"/>
        <w:jc w:val="right"/>
      </w:pPr>
      <w:r>
        <w:rPr>
          <w:color w:val="000000"/>
          <w:spacing w:val="0"/>
          <w:w w:val="100"/>
          <w:position w:val="0"/>
          <w:shd w:val="clear" w:color="auto" w:fill="auto"/>
          <w:lang w:val="ru-RU" w:eastAsia="ru-RU" w:bidi="ru-RU"/>
        </w:rPr>
        <w:t>И.М. Болотова</w:t>
      </w:r>
    </w:p>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 Хорышев Егор Олегович тел.(391) 211-01-44</w:t>
      </w:r>
    </w:p>
    <w:sectPr>
      <w:footnotePr>
        <w:pos w:val="pageBottom"/>
        <w:numFmt w:val="decimal"/>
        <w:numRestart w:val="continuous"/>
      </w:footnotePr>
      <w:type w:val="continuous"/>
      <w:pgSz w:w="11900" w:h="16840"/>
      <w:pgMar w:top="879" w:right="546" w:bottom="821" w:left="109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9941560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2023-22312</w:t>
                          </w:r>
                        </w:p>
                      </w:txbxContent>
                    </wps:txbx>
                    <wps:bodyPr wrap="none" lIns="0" tIns="0" rIns="0" bIns="0">
                      <a:spAutoFit/>
                    </wps:bodyPr>
                  </wps:wsp>
                </a:graphicData>
              </a:graphic>
            </wp:anchor>
          </w:drawing>
        </mc:Choice>
        <mc:Fallback>
          <w:pict>
            <v:shape id="_x0000_s1031" type="#_x0000_t202" style="position:absolute;margin-left:56.850000000000001pt;margin-top:782.80000000000007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2023-22312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2023-22312</w:t>
                          </w:r>
                        </w:p>
                      </w:txbxContent>
                    </wps:txbx>
                    <wps:bodyPr wrap="none" lIns="0" tIns="0" rIns="0" bIns="0">
                      <a:spAutoFit/>
                    </wps:bodyPr>
                  </wps:wsp>
                </a:graphicData>
              </a:graphic>
            </wp:anchor>
          </w:drawing>
        </mc:Choice>
        <mc:Fallback>
          <w:pict>
            <v:shape id="_x0000_s1033" type="#_x0000_t202" style="position:absolute;margin-left:57.pt;margin-top:776.20000000000005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2023-22312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683260</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0000000000002pt;margin-top:53.800000000000004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character" w:customStyle="1" w:styleId="CharStyle18">
    <w:name w:val="Основной текст (4)_"/>
    <w:basedOn w:val="DefaultParagraphFont"/>
    <w:link w:val="Style1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Заголовок №1"/>
    <w:basedOn w:val="Normal"/>
    <w:link w:val="CharStyle16"/>
    <w:pPr>
      <w:widowControl w:val="0"/>
      <w:shd w:val="clear" w:color="auto" w:fill="auto"/>
      <w:spacing w:after="240"/>
      <w:outlineLvl w:val="0"/>
    </w:pPr>
    <w:rPr>
      <w:rFonts w:ascii="Arial" w:eastAsia="Arial" w:hAnsi="Arial" w:cs="Arial"/>
      <w:b w:val="0"/>
      <w:bCs w:val="0"/>
      <w:i w:val="0"/>
      <w:iCs w:val="0"/>
      <w:smallCaps w:val="0"/>
      <w:strike w:val="0"/>
      <w:sz w:val="38"/>
      <w:szCs w:val="38"/>
      <w:u w:val="none"/>
    </w:rPr>
  </w:style>
  <w:style w:type="paragraph" w:customStyle="1" w:styleId="Style17">
    <w:name w:val="Основной текст (4)"/>
    <w:basedOn w:val="Normal"/>
    <w:link w:val="CharStyle18"/>
    <w:pPr>
      <w:widowControl w:val="0"/>
      <w:shd w:val="clear" w:color="auto" w:fill="auto"/>
      <w:spacing w:after="2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Постановление Правительства РФ от 31.12.2021 N 2604(ред. от 31.10.2022)"Об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dc:title>
  <dc:subject/>
  <dc:creator/>
  <cp:keywords/>
</cp:coreProperties>
</file>