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spacing w:line="1" w:lineRule="exact"/>
      </w:pPr>
      <w:r>
        <w:drawing>
          <wp:anchor distT="0" distB="1838325" distL="1074420" distR="1059180" simplePos="0" relativeHeight="125829378" behindDoc="0" locked="0" layoutInCell="1" allowOverlap="1">
            <wp:simplePos x="0" y="0"/>
            <wp:positionH relativeFrom="page">
              <wp:posOffset>1781810</wp:posOffset>
            </wp:positionH>
            <wp:positionV relativeFrom="paragraph">
              <wp:posOffset>12700</wp:posOffset>
            </wp:positionV>
            <wp:extent cx="511810" cy="609600"/>
            <wp:wrapSquare wrapText="right"/>
            <wp:docPr id="1" name="Shap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box 2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anchor>
        </w:drawing>
      </w:r>
      <w:r>
        <mc:AlternateContent>
          <mc:Choice Requires="wps">
            <w:drawing>
              <wp:anchor distT="609600" distB="0" distL="114300" distR="114300" simplePos="0" relativeHeight="125829379" behindDoc="0" locked="0" layoutInCell="1" allowOverlap="1">
                <wp:simplePos x="0" y="0"/>
                <wp:positionH relativeFrom="page">
                  <wp:posOffset>821690</wp:posOffset>
                </wp:positionH>
                <wp:positionV relativeFrom="paragraph">
                  <wp:posOffset>622300</wp:posOffset>
                </wp:positionV>
                <wp:extent cx="2416810" cy="1835150"/>
                <wp:wrapSquare wrapText="right"/>
                <wp:docPr id="3" name="Shape 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2416810" cy="183515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59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ФЕДЕРАЛЬНАЯ</w:t>
                              <w:br/>
                              <w:t>АНТИМОНОПОЛЬНАЯ СЛУЖБА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УПРАВЛЕНИЕ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200" w:line="240" w:lineRule="auto"/>
                              <w:ind w:left="0" w:right="0" w:firstLine="0"/>
                              <w:jc w:val="center"/>
                              <w:rPr>
                                <w:sz w:val="19"/>
                                <w:szCs w:val="19"/>
                              </w:rPr>
                            </w:pPr>
                            <w:r>
                              <w:rPr>
                                <w:b/>
                                <w:bCs/>
                                <w:spacing w:val="0"/>
                                <w:w w:val="100"/>
                                <w:position w:val="0"/>
                                <w:sz w:val="19"/>
                                <w:szCs w:val="19"/>
                                <w:shd w:val="clear" w:color="auto" w:fill="auto"/>
                                <w:lang w:val="ru-RU" w:eastAsia="ru-RU" w:bidi="ru-RU"/>
                              </w:rPr>
                              <w:t>по г. Москве</w:t>
                            </w:r>
                          </w:p>
                          <w:p>
                            <w:pPr>
                              <w:pStyle w:val="Style2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80"/>
                              <w:ind w:left="0" w:right="0" w:firstLine="0"/>
                              <w:jc w:val="center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Мясницкий проезд, д.4, стр. 1</w:t>
                              <w:br/>
                              <w:t>107078, г. Москва,</w:t>
                              <w:br/>
                              <w:t>тел. (495) 784-75-05, факс (495) 607-49-29</w:t>
                              <w:br/>
                              <w:t xml:space="preserve">факс (495) 607-42-92,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е-таП: 1о77@1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vertAlign w:val="superscript"/>
                                <w:lang w:val="ru-RU" w:eastAsia="ru-RU" w:bidi="ru-RU"/>
                              </w:rPr>
                              <w:t>?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>а8.еоу.ги</w:t>
                            </w:r>
                          </w:p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tabs>
                                <w:tab w:pos="1810" w:val="left"/>
                              </w:tabs>
                              <w:bidi w:val="0"/>
                              <w:spacing w:before="0" w:after="200" w:line="240" w:lineRule="auto"/>
                              <w:ind w:left="0" w:right="0" w:firstLine="0"/>
                              <w:jc w:val="left"/>
                              <w:rPr>
                                <w:sz w:val="30"/>
                                <w:szCs w:val="30"/>
                              </w:rPr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1</w:t>
                            </w:r>
                            <w:r>
                              <w:fldChar w:fldCharType="begin"/>
                            </w:r>
                            <w:r>
                              <w:rPr/>
                              <w:instrText> HYPERLINK "file://f207ca94-a13c-4ba0-b72d-f018c9eed8f1/" </w:instrText>
                            </w:r>
                            <w:r>
                              <w:fldChar w:fldCharType="separate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8.12.2023</w:t>
                              <w:tab/>
                            </w:r>
                            <w:r>
                              <w:fldChar w:fldCharType="end"/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№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u w:val="single"/>
                                <w:shd w:val="clear" w:color="auto" w:fill="auto"/>
                                <w:lang w:val="ru-RU" w:eastAsia="ru-RU" w:bidi="ru-RU"/>
                              </w:rPr>
                              <w:t xml:space="preserve">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30"/>
                                <w:szCs w:val="30"/>
                                <w:shd w:val="clear" w:color="auto" w:fill="auto"/>
                                <w:lang w:val="ru-RU" w:eastAsia="ru-RU" w:bidi="ru-RU"/>
                              </w:rPr>
                              <w:t>53874/23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_x0000_s1029" type="#_x0000_t202" style="position:absolute;margin-left:64.700000000000003pt;margin-top:49.pt;width:190.30000000000001pt;height:144.5pt;z-index:-125829374;mso-wrap-distance-left:9.pt;mso-wrap-distance-top:48.pt;mso-wrap-distance-right:9.pt;mso-position-horizontal-relative:page" filled="f" stroked="f">
                <v:textbox inset="0,0,0,0">
                  <w:txbxContent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59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ФЕДЕРАЛЬНАЯ</w:t>
                        <w:br/>
                        <w:t>АНТИМОНОПОЛЬНАЯ СЛУЖБА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УПРАВЛЕНИЕ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200" w:line="240" w:lineRule="auto"/>
                        <w:ind w:left="0" w:right="0" w:firstLine="0"/>
                        <w:jc w:val="center"/>
                        <w:rPr>
                          <w:sz w:val="19"/>
                          <w:szCs w:val="19"/>
                        </w:rPr>
                      </w:pPr>
                      <w:r>
                        <w:rPr>
                          <w:b/>
                          <w:bCs/>
                          <w:spacing w:val="0"/>
                          <w:w w:val="100"/>
                          <w:position w:val="0"/>
                          <w:sz w:val="19"/>
                          <w:szCs w:val="19"/>
                          <w:shd w:val="clear" w:color="auto" w:fill="auto"/>
                          <w:lang w:val="ru-RU" w:eastAsia="ru-RU" w:bidi="ru-RU"/>
                        </w:rPr>
                        <w:t>по г. Москве</w:t>
                      </w:r>
                    </w:p>
                    <w:p>
                      <w:pPr>
                        <w:pStyle w:val="Style2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80"/>
                        <w:ind w:left="0" w:right="0" w:firstLine="0"/>
                        <w:jc w:val="center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Мясницкий проезд, д.4, стр. 1</w:t>
                        <w:br/>
                        <w:t>107078, г. Москва,</w:t>
                        <w:br/>
                        <w:t>тел. (495) 784-75-05, факс (495) 607-49-29</w:t>
                        <w:br/>
                        <w:t xml:space="preserve">факс (495) 607-42-92, 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е-таП: 1о77@1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vertAlign w:val="superscript"/>
                          <w:lang w:val="ru-RU" w:eastAsia="ru-RU" w:bidi="ru-RU"/>
                        </w:rPr>
                        <w:t>?</w:t>
                      </w:r>
                      <w:r>
                        <w:rPr>
                          <w:spacing w:val="0"/>
                          <w:w w:val="100"/>
                          <w:position w:val="0"/>
                          <w:u w:val="single"/>
                          <w:shd w:val="clear" w:color="auto" w:fill="auto"/>
                          <w:lang w:val="ru-RU" w:eastAsia="ru-RU" w:bidi="ru-RU"/>
                        </w:rPr>
                        <w:t>а8.еоу.ги</w:t>
                      </w:r>
                    </w:p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tabs>
                          <w:tab w:pos="1810" w:val="left"/>
                        </w:tabs>
                        <w:bidi w:val="0"/>
                        <w:spacing w:before="0" w:after="200" w:line="240" w:lineRule="auto"/>
                        <w:ind w:left="0" w:right="0" w:firstLine="0"/>
                        <w:jc w:val="left"/>
                        <w:rPr>
                          <w:sz w:val="30"/>
                          <w:szCs w:val="30"/>
                        </w:rPr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1</w:t>
                      </w:r>
                      <w:r>
                        <w:fldChar w:fldCharType="begin"/>
                      </w:r>
                      <w:r>
                        <w:rPr/>
                        <w:instrText> HYPERLINK "file://f207ca94-a13c-4ba0-b72d-f018c9eed8f1/" </w:instrText>
                      </w:r>
                      <w:r>
                        <w:fldChar w:fldCharType="separate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8.12.2023</w:t>
                        <w:tab/>
                      </w:r>
                      <w:r>
                        <w:fldChar w:fldCharType="end"/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№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u w:val="single"/>
                          <w:shd w:val="clear" w:color="auto" w:fill="auto"/>
                          <w:lang w:val="ru-RU" w:eastAsia="ru-RU" w:bidi="ru-RU"/>
                        </w:rPr>
                        <w:t xml:space="preserve">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30"/>
                          <w:szCs w:val="30"/>
                          <w:shd w:val="clear" w:color="auto" w:fill="auto"/>
                          <w:lang w:val="ru-RU" w:eastAsia="ru-RU" w:bidi="ru-RU"/>
                        </w:rPr>
                        <w:t>53874/23</w:t>
                      </w:r>
                    </w:p>
                  </w:txbxContent>
                </v:textbox>
                <w10:wrap type="square" side="right" anchorx="page"/>
              </v:shape>
            </w:pict>
          </mc:Fallback>
        </mc:AlternateConten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МТУСИ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/а1&lt;ир1&lt;а@1п111С1 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«Расцвет»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ооо141М^\АД@таП.П1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1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АО «ЕЭТП»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820" w:line="240" w:lineRule="auto"/>
        <w:ind w:left="532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ко@го8екогд.ги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</w:t>
        <w:br/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 077/06/106-17362/2023 о нарушении</w:t>
        <w:br/>
        <w:t>законодательства о контрактной системе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8933" w:val="left"/>
        </w:tabs>
        <w:bidi w:val="0"/>
        <w:spacing w:before="0" w:after="0" w:line="240" w:lineRule="auto"/>
        <w:ind w:left="0" w:right="0" w:firstLine="0"/>
        <w:jc w:val="both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13.12.2023</w:t>
        <w:tab/>
        <w:t>г. Москва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 - заместителя начальника отдела обжалования государственных закупок Д.С. Грешневой,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Главного специалиста-эксперта отдела обжалования государственных закупок А.А. Кутейникова,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видео- конференц связи),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представителей:</w:t>
      </w:r>
    </w:p>
    <w:p>
      <w:pPr>
        <w:pStyle w:val="Style6"/>
        <w:keepNext w:val="0"/>
        <w:keepLines w:val="0"/>
        <w:widowControl w:val="0"/>
        <w:shd w:val="clear" w:color="auto" w:fill="auto"/>
        <w:tabs>
          <w:tab w:pos="5746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МТУСИ: А.А. Мелихова (доверенность от 17.04.2023 №1019/02-17), Х.А. Крапивко (доверенность от 09.08.2023</w:t>
        <w:tab/>
        <w:t>№2217/02-17), И.А. Коршуновой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(доверенность от 04.12.2023 №б/н),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ООО «Расцвет», о времени и порядке заседания Комиссии Управления уведомленных надлежащим образом посредством функционала Единой информационной системы,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«Расцвет» (далее — Заявитель) на действия МТУСИ (далее — Заказчик) при проведении электронного аукциона на право заключения государственного контракта на поставку мебели для поточных аудиторий МТУСИ (Закупка № 0373100070623000179) (далее — аукцион), в соответствии с Федеральным законом от 05.04.2013 № 44-ФЗ «О контрактной системе в сфере закупок товаров, работ, услуг для обеспечения государственных и муниципальных нужд» (далее — Закон о контрактной системе),</w:t>
      </w:r>
    </w:p>
    <w:p>
      <w:pPr>
        <w:pStyle w:val="Style14"/>
        <w:keepNext/>
        <w:keepLines/>
        <w:widowControl w:val="0"/>
        <w:shd w:val="clear" w:color="auto" w:fill="auto"/>
        <w:bidi w:val="0"/>
        <w:spacing w:before="0" w:line="240" w:lineRule="auto"/>
        <w:ind w:left="0" w:right="0"/>
        <w:jc w:val="both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||||||||||||||||||||||||||||</w:t>
      </w:r>
      <w:bookmarkEnd w:id="0"/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комиссии по осуществлению закупок Заказчика (далее - комиссия Заказчика) при проведении электронного аукциона.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Московским УФАС России.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комиссией Заказчика нарушены нормы Закона о контрактной системе в результате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протоколу подведения итогов определения поставщика (подрядчика, исполнителя) от 06.12.2023 №ИЭА1 заявка участника закупки ООО «Расцвет», с идентификационным номером 2, отклонена на следующем основании: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«Характеристики предлагаемых товаров не соответствуют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требованиям Извещения об осуществлении закупки - не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720" w:right="0" w:firstLine="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указаны конкретные значения товаров в структурированных показателях, а именно: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7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показателю «Размер анкерного болта для крепления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стола» для товара «Секция стульев многоместная» установ- лено требование «М8 или М10 или М12», предложение участника «М8 или М10 или М12».</w:t>
      </w:r>
    </w:p>
    <w:p>
      <w:pPr>
        <w:pStyle w:val="Style6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088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показателю "Размер анкерного болта для крепления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стола» для товара "Стол письменный" установлено требова- ние «М8 или М10 или М12», предложение участника «М8 или М10 или М12»»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закупки, если иное не предусмотрено Законом о контрактной системе, должно содержать описание объекта закупки в соответствии со ст.33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п.1 ч.1 ст.33 Закона о контрактной системе заказчиком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 В описание объекта закупки не должны включаться требования или указания в отношении товарных знаков, знаков обслуживания, фирменных наименований, патентов, полезных моделей, промышленных образцов, наименование страны происхождения товара, требования к товарам, информации, работам, услугам при условии, что такие требования или указания влекут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системе, должно содержать показатели, позволяющие определить соответствие закупаемых товара, работы, услуги установленным заказчиком требованиям. При этом указываются максимальные и (или) минимальные значения таких показателей и (или) значения показателей, которые не могут изменяться.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п.3 ч.2 ст.42 Закона о контрактной системе извещение об осуществлении закупки, если иное не предусмотрено Законом о контрактной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структурированной формы извещения Заказчиком установлены требования к характеристикам необходимых товаров, например: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«Секция стульев многоместная»: «Размер анкерного болта для крепления стола: М8 или М10 или М12»;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«Стол письменный»: «Размер анкерного болта для крепления стола:М8 или М10 или М12».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в отношении требований, указанных в разделе «Характеристики товара, работы, услуги», также представлена инструкция по заполнению характеристики, например в отношении характеристики «Размер анкерного болта для крепления стола:М8 или М10 или М12» указано: «Участник закупки указывает в заявке только одно значение характеристики».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ст.49 Закона о контрактной системе заявка на участие в закупке должна содержать информацию и документы, предусмотренные пп.«м» - «п» п.1, пп.«а» - «в» п.2, п.5 ч.1 ст.43 Закона о контрактной системе. Заявка также может содержать информацию и документы, предусмотренные пп.«д» п.2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соответствии с п.2 ч.1 ст.43 Закона о контрактной системе для участия в конкурентном способе заявка на участие в закупке должна содержать предложение участника закупки в отношении объекта закупки: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2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 учетом положений ч.2 ст.43 Закона о контрактной системе характеристики предлагаемого участником закупки товара, соответствующие показателям, установленным в описании объекта закупки в соответствии с ч. 2 ст. 33 Закона о контрактной системе, товарный знак (при наличии у товара товарного знака);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4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наименование страны происхождения товара в соответствии с общероссийским классификатором, используемым для идентификации стран мира, с учетом положений ч.2 ст.43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34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документы, подтверждающие соответствие товара, работы или услуги требованиям, установленным в соответствии с законодательством Российской Федерации (в случае, если в соответствии с законодательством Российской Федерации установлены требования к товару, работе или услуге и представление указанных документов предусмотрено извещением об осуществлении закупки, документацией о закупке, если Законом о контрактной системе предусмотрена документация о закупке). Заказчик не вправе требовать представление указанных документов, если в соответствии с законодательством Российской Федерации они передаются вместе с товаром;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15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учетом положений ч.2 ст.43 Закона о контрактной системе предложение по критериям, предусмотренным п.2 и (или) 3 ч.1 ст.32 Закона о контрактной системе (в случае проведения конкурсов и установления таких критериев). При этом отсутствие такого предложения не является основанием для отклонения заявки на участие в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3"/>
        </w:numPr>
        <w:shd w:val="clear" w:color="auto" w:fill="auto"/>
        <w:tabs>
          <w:tab w:pos="1079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иные информация и документы, в том числе эскиз, рисунок, чертеж, фотография, иное изображение предлагаемого участником закупки товара. При этом отсутствие таких информации и документов не является основанием для отклонения заявки на участие в закупке.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П.9 Требований к содержанию и составу заявки Заказчиком установлено в том числе следующее требование: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«9.При указании характеристик предлагаемого товара, соответствующих показателям товара, установленным в описании объекта закупки, входящем в состав извещения об осуществлении закупки, участнику закупки надлежит: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5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указывать значения характеристик предлагаемого товара в структурированном виде (посредством заполнения соответствующих полей на ЭТП) в установленных Заказчиком единицах измерения характеристик;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5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указании значений характеристик руководствоваться пояснениями Заказчика для каждой характеристики, указанные в графе «Инструкция по заполнению характеристик в заявке» и размещенные в разделе «Информация об объекте закупки» Единой информационной системы в сфере закупок;</w:t>
      </w:r>
    </w:p>
    <w:p>
      <w:pPr>
        <w:pStyle w:val="Style6"/>
        <w:keepNext w:val="0"/>
        <w:keepLines w:val="0"/>
        <w:widowControl w:val="0"/>
        <w:numPr>
          <w:ilvl w:val="1"/>
          <w:numId w:val="5"/>
        </w:numPr>
        <w:shd w:val="clear" w:color="auto" w:fill="auto"/>
        <w:tabs>
          <w:tab w:pos="1507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 допускать указания значений характеристик, не позволяющих установить их соответствие показателям товара, установленным Заказчиком в описании объекта закупки».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Комиссий Управления установлено, что в составе заявки участника аукциона представлены сведения о предложенных к поставке изделиях, например по: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«Секция стульев многоместная»: «Размер анкерного болта для крепления стола: М8 или М10 или М12»;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«Стол письменный»: «Размер анкерного болта для крепления стола: М8 или М10 или М12».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ч.1 ст.106 Закона о контрактной системе лица, права и законные интересы которых непосредственно затрагиваются в результате рассмотрения жалобы, вправе направить в контрольный орган в сфере закупок возражения на жалобу, участвовать в ее рассмотрении лично или через своих представителей.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засевании Комиссии Управления представитель Заказчика пояснил, что заявка участника закупки отклонена комиссией по осуществлению закупок Заказчика на основании несоответствия характеристик, указанных в заявке, Инструкции по заполнению, поскольку участник должен был указать одно значение.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Исходя из вышеизложенного Комиссия Управления приходит к выводу, что в составе заявки участника закупки ООО «Расцвет» сведения о характеристиках предлагаемого товара представлены не в соответствии с требованиями извещения, в том числе Инструкции по заполнению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Согласно пп.«а» п.1 ч.5 ст.49 Закона о контрактной системе не позднее двух рабочих дней со дня, следующего за датой окончания срока подачи заявок на участие в закупке, но не позднее даты подведения итогов определения поставщика (подрядчика, исполнителя), установленной в извещении об осуществлении закупки члены комиссии по осуществлению закупок рассматривают заявки на участие в закупке, информацию и документы, направленные оператором электронной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площадки в соответствии с п.4 ч.4 ст.49 Закона о контрактной системе, и принимают решение о признании заявки на участие в закупке соответствующей извещению об осуществлении закупки или об отклонении заявки на участие в закупке по основаниям, предусмотренным пп.1 - 8 ч.12 ст.48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силу ч.12 ст.48 Закона о контрактной системе при рассмотрении вторых частей заявок на участие в закупке соответствующая заявка подлежит отклонению в случаях: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(за исключением случаев, предусмотренных Законом о контрактной системе) участником закупки оператору электронной площадки в заявке на участие в закупке информации и документов, предусмотренных извещением об осуществлении закупки в соответствии с Законом о контрактной системе (за исключением информации и документов, предусмотренных п.2 и 3 ч.6 ст.43 Закона о контрактной системе),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п.2 и 3 ч.6 ст.43 Закона о контрактной системе, несоответствия таких информации и документов требованиям, установленным в извещении об осуществлении закупки;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несоответствия участника закупки требованиям, установленным в извещении об осуществлении закупки в соответствии с ч.1 ст.31 Закона о контрактной системе, требованиям, установленным в извещении об осуществлении закупки в соответствии с частями 1.1, 2 и 2.1 (при наличии таких требований) ст.31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нормативными правовыми актами, принятыми в соответствии со ст.14 Закона о контрактной системе (за исключением случаев непредставления информации и документов, предусмотренных п.5 ч.1 ст.43 Закона о контрактной системе);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непредставления информации и документов, предусмотренных п.5 ч.1 ст.43 Закона о контрактной системе, если такие документы предусмотрены нормативными правовыми актами, принятыми в соответствии с ч.3 ст.14 Закона о контрактной системе (в случае установления в соответствии со ст.14 Закона о контрактной системе в извещении об осуществлении закупки запрета допуска товаров, происходящих из иностранного государства или группы иностранных государств);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отнесения участника закупки к организациям, предусмотренным п.4 ст.2 Федерального закона от 4 июня 2018 года №127-ФЗ «О мерах воздействия (противодействия) на недружественные действия Соединенных Штатов Америки и иных иностранных государств», в случае осуществления закупки работ, услуг, включенных в перечень, определенный Правительством Российской Федерации в соответствии с указанным пунктом;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7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предусмотренных ч.6 ст.45 Закона о контрактной системе;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выявления недостоверной информации, содержащейся в заявке на участие в закупке;</w:t>
      </w:r>
    </w:p>
    <w:p>
      <w:pPr>
        <w:pStyle w:val="Style6"/>
        <w:keepNext w:val="0"/>
        <w:keepLines w:val="0"/>
        <w:widowControl w:val="0"/>
        <w:numPr>
          <w:ilvl w:val="0"/>
          <w:numId w:val="7"/>
        </w:numPr>
        <w:shd w:val="clear" w:color="auto" w:fill="auto"/>
        <w:tabs>
          <w:tab w:pos="1070" w:val="left"/>
        </w:tabs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указания информации о предложении участника закупки, предусмотренном п.3 или п.4 ч.1 ст.43 Закона о контрактной системе.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Таким образом, Комиссия Управления приходит к выводу, что у комиссии по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осуществлению закупок Заказчика имелись основания для отклонения заявки Заявителя.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Одновременно с этим в ходе проведения внеплановой проверки Комиссией Управления установлено следующее.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Постановлением Правительства Российской Федерации от 08.02.2017 № 145 утверждены Правила формирования и ведения в единой информационной системе в сфере закупок каталога товаров, работ, услуг для обеспечения государственных и муниципальных нужд (далее — правила формирования КТРУ) и Правила использования каталога товаров, работ, услуг для обеспечения государственных и муниципальных нужд (далее — Правила использования КТРУ).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основании п.14 ч.3 ст.4 Закона о контрактной системе единая информационная система содержит каталог товаров, работ, услуг для обеспечения государственных и муниципальных нужд.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п.5 ч.1 ст.42 Закона о контрактной системе извещение об осуществлении закупки должно содержать наименование объекта закупки, информация (при наличии), предусмотренная правилами использования каталога товаров, работ, услуг для обеспечения государственных и муниципальных нужд, установленными в соответствии с ч.6 ст.23 Закона о контрактной системе, указание (в случае осуществления закупки лекарственных средств) на международные непатентованные наименования лекарственных средств или при отсутствии таких наименований химические, группировочные наименования.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п.7 Правил использования КТРУ в случае осуществления закупки товара, работы, услуги, в отношении которых в каталоге отсутствуют соответствующие позиции, заказчик осуществляет описание товара, работы, услуги в соответствии с требованиями ст.33 Закона о контрактной системе. При проведении предусмотренных Законом о контрактной системе электронных процедур, закрытых электронных процедур характеристики объекта закупки, предусмотренные п.1 ч.1 ст.33 Закона о контрактной системе, указываются с использованием единой информационной системы при формировании извещения об осуществлении закупки, приглашения принять участие в определении поставщика (подрядчика, исполнителя) в соответствии с ч.1 ст.42, п.1 ч.1 ст.75 Закона о контрактной системе соответственно.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этим Комиссией Управления установлено, что в описании объекта закупки в извещении о проведении закупки Заказчиком ненадлежащим образом определены требования к характеристикам закупаемых изделий, в частности по: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поз.1 «Секция стульев многоместная»: «Размер анкерного болта для крепления стола: М8 или М10 или М12»;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поз.2 «Стол письменный»: «Размер анкерного болта для крепления стола: М8 или М10 или М12».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пояснениям представителя Заказчика участник закупки указывает в заявке только одно значение характеристики, например «М8», «М10» и т.д.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Вместе с тем Комиссией Управления установлено, что в рамках инструкции по заполнению характеристики Заказчиком указано требование «Участник закупки указывает в заявке </w:t>
      </w: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только одно значение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характеристики».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отмечает, что Заказчиком некорректным образом определена потребность в отношении параметра «Размер анкерного болта для крепления стола», не позволяющая указать только одно значение характеристики, что повлекло отклонение всех восьми поданных заявок.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тем, объектом закупки в данном случае является мебель, в тоже самое время Заказчиком предъявлены требования к болтам, которые таковой не являются, не поставляются и не принимаются отдельно.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представитель Заказчика также пояснил, что болты будут использоваться при монтаже товара.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В силу п.1 ч.2 ст.43 Закона о контрактной системе информация о товаре, предусмотренная подпунктами «а» и «б» п.2 ч.1 ст.43 Закона о контрактной системе, включается в заявку на участие в закупке в случае осуществления закупки товара, в том числе </w:t>
      </w:r>
      <w:r>
        <w:rPr>
          <w:i/>
          <w:i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поставляемого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 заказчику при выполнении закупаемых работ, оказании закупаемых услуг.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Ч.3 ст.43 Закона о контрактной системе установлено, что требовать от участника закупки представления иных информации и документов, за исключением предусмотренных ч.1 и 2 ст.43 Закона о контрактной системе, не допускается.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этом болты в рамках данной закупочной процедуры поставляемым товаром не являются, ввиду чего требование о предоставлении их характеристик в составе заявок неправомерно.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на основании имеющихся документов и сведений, Комиссия Управления приходит к выводу о нарушении Заказчиком положений п.1 ч.1 ст.33, ч.3 ст.43 Закона о контрактной системе, что также свидетельствует о наличии в действиях Заказчика признаков состава административного правонарушения, ответственность за которое предусмотрена ч.1.4 ст.7.30 Кодекса Российской Федерации об административных правонарушениях.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headerReference w:type="default" r:id="rId7"/>
          <w:footerReference w:type="default" r:id="rId8"/>
          <w:headerReference w:type="first" r:id="rId9"/>
          <w:footerReference w:type="first" r:id="rId10"/>
          <w:footnotePr>
            <w:pos w:val="pageBottom"/>
            <w:numFmt w:val="decimal"/>
            <w:numRestart w:val="continuous"/>
          </w:footnotePr>
          <w:pgSz w:w="11900" w:h="16840"/>
          <w:pgMar w:top="1002" w:right="531" w:bottom="982" w:left="1097" w:header="0" w:footer="3" w:gutter="0"/>
          <w:pgNumType w:start="1"/>
          <w:cols w:space="720"/>
          <w:noEndnote/>
          <w:titlePg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административным регламентом Законом о контрактной системе, Комиссия Управления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жалобу ООО «Расцвет» на действия комиссии МТУСИ необоснованной.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Признать в действиях Заказчика нарушения п.1 ч.1 ст.33, ч.3 ст.43 Закона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2" w:val="left"/>
        </w:tabs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Выдать Заказчику обязательное для исполнения предписание об устранении нарушений законодательства о контрактной системе.</w:t>
      </w:r>
    </w:p>
    <w:p>
      <w:pPr>
        <w:pStyle w:val="Style6"/>
        <w:keepNext w:val="0"/>
        <w:keepLines w:val="0"/>
        <w:widowControl w:val="0"/>
        <w:numPr>
          <w:ilvl w:val="0"/>
          <w:numId w:val="9"/>
        </w:numPr>
        <w:shd w:val="clear" w:color="auto" w:fill="auto"/>
        <w:tabs>
          <w:tab w:pos="1142" w:val="left"/>
        </w:tabs>
        <w:bidi w:val="0"/>
        <w:spacing w:before="0" w:after="28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Передать материалы дела соответствующему должностному лицу Московского УФАС России для рассмотрения вопроса о возбуждении дела об административном правонарушении.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2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Решение может быть обжаловано в судебном порядке в Арбитражном суде г. Москвы в течение 3 (трех) месяцев с даты его принятия в порядке, установленном гл. 24 АПК РФ.</w:t>
      </w: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pgSz w:w="11900" w:h="16840"/>
          <w:pgMar w:top="1806" w:right="541" w:bottom="2003" w:left="1106" w:header="0" w:footer="3" w:gutter="0"/>
          <w:cols w:space="720"/>
          <w:noEndnote/>
          <w:rtlGutter w:val="0"/>
          <w:docGrid w:linePitch="360"/>
        </w:sectPr>
      </w:pPr>
      <w:r>
        <mc:AlternateContent>
          <mc:Choice Requires="wps">
            <w:drawing>
              <wp:anchor distT="127000" distB="167640" distL="0" distR="0" simplePos="0" relativeHeight="125829381" behindDoc="0" locked="0" layoutInCell="1" allowOverlap="1">
                <wp:simplePos x="0" y="0"/>
                <wp:positionH relativeFrom="page">
                  <wp:posOffset>735965</wp:posOffset>
                </wp:positionH>
                <wp:positionV relativeFrom="paragraph">
                  <wp:posOffset>127000</wp:posOffset>
                </wp:positionV>
                <wp:extent cx="1850390" cy="252730"/>
                <wp:wrapTopAndBottom/>
                <wp:docPr id="11" name="Shape 1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85039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Председательствующий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7" type="#_x0000_t202" style="position:absolute;margin-left:57.950000000000003pt;margin-top:10.pt;width:145.70000000000002pt;height:19.900000000000002pt;z-index:-125829372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Председательствующий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291465" distB="0" distL="0" distR="0" simplePos="0" relativeHeight="125829383" behindDoc="0" locked="0" layoutInCell="1" allowOverlap="1">
                <wp:simplePos x="0" y="0"/>
                <wp:positionH relativeFrom="page">
                  <wp:posOffset>3524885</wp:posOffset>
                </wp:positionH>
                <wp:positionV relativeFrom="paragraph">
                  <wp:posOffset>291465</wp:posOffset>
                </wp:positionV>
                <wp:extent cx="1725295" cy="255905"/>
                <wp:wrapTopAndBottom/>
                <wp:docPr id="13" name="Shape 13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725295" cy="255905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18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/>
                              <w:ind w:left="0" w:right="0" w:firstLine="0"/>
                              <w:jc w:val="left"/>
                            </w:pP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Подлинник электронного документа, подписанного </w:t>
                            </w: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 xml:space="preserve">ЭП, </w:t>
                            </w:r>
                            <w:r>
                              <w:rPr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хранится в системе электронного документооборота ФАС России</w:t>
                            </w:r>
                          </w:p>
                        </w:txbxContent>
                      </wps:txbx>
                      <wps:bodyPr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9" type="#_x0000_t202" style="position:absolute;margin-left:277.55000000000001pt;margin-top:22.949999999999999pt;width:135.84999999999999pt;height:20.150000000000002pt;z-index:-125829370;mso-wrap-distance-left:0;mso-wrap-distance-top:22.949999999999999pt;mso-wrap-distance-right:0;mso-position-horizontal-relative:page" filled="f" stroked="f">
                <v:textbox inset="0,0,0,0">
                  <w:txbxContent>
                    <w:p>
                      <w:pPr>
                        <w:pStyle w:val="Style18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/>
                        <w:ind w:left="0" w:right="0" w:firstLine="0"/>
                        <w:jc w:val="left"/>
                      </w:pP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Подлинник электронного документа, подписанного </w:t>
                      </w: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 xml:space="preserve">ЭП, </w:t>
                      </w:r>
                      <w:r>
                        <w:rPr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хранится в системе электронного документооборота ФАС России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  <w:r>
        <mc:AlternateContent>
          <mc:Choice Requires="wps">
            <w:drawing>
              <wp:anchor distT="127000" distB="167640" distL="0" distR="0" simplePos="0" relativeHeight="125829385" behindDoc="0" locked="0" layoutInCell="1" allowOverlap="1">
                <wp:simplePos x="0" y="0"/>
                <wp:positionH relativeFrom="page">
                  <wp:posOffset>6088380</wp:posOffset>
                </wp:positionH>
                <wp:positionV relativeFrom="paragraph">
                  <wp:posOffset>127000</wp:posOffset>
                </wp:positionV>
                <wp:extent cx="1134110" cy="252730"/>
                <wp:wrapTopAndBottom/>
                <wp:docPr id="15" name="Shape 15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134110" cy="25273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Д.С. Грешнева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1" type="#_x0000_t202" style="position:absolute;margin-left:479.40000000000003pt;margin-top:10.pt;width:89.299999999999997pt;height:19.900000000000002pt;z-index:-125829368;mso-wrap-distance-left:0;mso-wrap-distance-top:10.pt;mso-wrap-distance-right:0;mso-wrap-distance-bottom:13.200000000000001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Д.С. Грешнева</w:t>
                      </w:r>
                    </w:p>
                  </w:txbxContent>
                </v:textbox>
                <w10:wrap type="topAndBottom" anchorx="page"/>
              </v:shape>
            </w:pict>
          </mc:Fallback>
        </mc:AlternateContent>
      </w:r>
    </w:p>
    <w:p>
      <w:pPr>
        <w:widowControl w:val="0"/>
        <w:spacing w:line="190" w:lineRule="exact"/>
        <w:rPr>
          <w:sz w:val="15"/>
          <w:szCs w:val="15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806" w:right="0" w:bottom="1806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Грешнева Дарья Сергеевна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>067961ЕР87Е758АЕ5АСО096СЕ0АЕ9125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5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color w:val="3A3A3A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16.03.2023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по 08.06.2024</w:t>
      </w:r>
    </w:p>
    <w:p>
      <w:pPr>
        <w:pStyle w:val="Style6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both"/>
      </w:pPr>
      <w:r>
        <mc:AlternateContent>
          <mc:Choice Requires="wps">
            <w:drawing>
              <wp:anchor distT="0" distB="1282700" distL="114300" distR="117475" simplePos="0" relativeHeight="125829387" behindDoc="0" locked="0" layoutInCell="1" allowOverlap="1">
                <wp:simplePos x="0" y="0"/>
                <wp:positionH relativeFrom="page">
                  <wp:posOffset>5908040</wp:posOffset>
                </wp:positionH>
                <wp:positionV relativeFrom="paragraph">
                  <wp:posOffset>266700</wp:posOffset>
                </wp:positionV>
                <wp:extent cx="1307465" cy="250190"/>
                <wp:wrapSquare wrapText="bothSides"/>
                <wp:docPr id="17" name="Shape 17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307465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А.А. Кутейников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3" type="#_x0000_t202" style="position:absolute;margin-left:465.19999999999999pt;margin-top:21.pt;width:102.95pt;height:19.699999999999999pt;z-index:-125829366;mso-wrap-distance-left:9.pt;mso-wrap-distance-right:9.25pt;mso-wrap-distance-bottom:101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А.А. Кутейников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mc:AlternateContent>
          <mc:Choice Requires="wps">
            <w:drawing>
              <wp:anchor distT="1283335" distB="0" distL="556260" distR="114300" simplePos="0" relativeHeight="125829389" behindDoc="0" locked="0" layoutInCell="1" allowOverlap="1">
                <wp:simplePos x="0" y="0"/>
                <wp:positionH relativeFrom="page">
                  <wp:posOffset>6350000</wp:posOffset>
                </wp:positionH>
                <wp:positionV relativeFrom="paragraph">
                  <wp:posOffset>1550035</wp:posOffset>
                </wp:positionV>
                <wp:extent cx="868680" cy="250190"/>
                <wp:wrapSquare wrapText="bothSides"/>
                <wp:docPr id="19" name="Shape 19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6868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6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right"/>
                            </w:pPr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45" type="#_x0000_t202" style="position:absolute;margin-left:500.pt;margin-top:122.05pt;width:68.400000000000006pt;height:19.699999999999999pt;z-index:-125829364;mso-wrap-distance-left:43.800000000000004pt;mso-wrap-distance-top:101.05pt;mso-wrap-distance-right:9.pt;mso-position-horizontal-relative:page" filled="f" stroked="f">
                <v:textbox inset="0,0,0,0">
                  <w:txbxContent>
                    <w:p>
                      <w:pPr>
                        <w:pStyle w:val="Style6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right"/>
                      </w:pPr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anchorx="page"/>
              </v:shape>
            </w:pict>
          </mc:Fallback>
        </mc:AlternateConten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комиссии: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Кутейников Антон Андреевич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6366183222Р5ОСЕ2САЗЕ6О732820С91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>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84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252525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23.01.2023 по 17.04.2024</w:t>
      </w:r>
    </w:p>
    <w:p>
      <w:pPr>
        <w:pStyle w:val="Style18"/>
        <w:keepNext w:val="0"/>
        <w:keepLines w:val="0"/>
        <w:widowControl w:val="0"/>
        <w:shd w:val="clear" w:color="auto" w:fill="auto"/>
        <w:bidi w:val="0"/>
        <w:spacing w:before="0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Подлинник электронного документа, подписанного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ЭП,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хранится в системе электронного документооборота ФАС России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  <w:rPr>
          <w:sz w:val="11"/>
          <w:szCs w:val="11"/>
        </w:rPr>
      </w:pPr>
      <w:r>
        <w:rPr>
          <w:spacing w:val="0"/>
          <w:w w:val="100"/>
          <w:position w:val="0"/>
          <w:sz w:val="12"/>
          <w:szCs w:val="12"/>
          <w:shd w:val="clear" w:color="auto" w:fill="auto"/>
          <w:lang w:val="ru-RU" w:eastAsia="ru-RU" w:bidi="ru-RU"/>
        </w:rPr>
        <w:t xml:space="preserve">Кому выдан: </w:t>
      </w:r>
      <w:r>
        <w:rPr>
          <w:color w:val="000000"/>
          <w:spacing w:val="0"/>
          <w:w w:val="100"/>
          <w:position w:val="0"/>
          <w:sz w:val="11"/>
          <w:szCs w:val="11"/>
          <w:shd w:val="clear" w:color="auto" w:fill="auto"/>
          <w:lang w:val="ru-RU" w:eastAsia="ru-RU" w:bidi="ru-RU"/>
        </w:rPr>
        <w:t>Гугава Эдуард Звиадович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Сертификат №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6281 Е5АЕВ0О2ОВЕ2АВВСЕ65248493Е7С</w:t>
      </w:r>
    </w:p>
    <w:p>
      <w:pPr>
        <w:pStyle w:val="Style21"/>
        <w:keepNext w:val="0"/>
        <w:keepLines w:val="0"/>
        <w:widowControl w:val="0"/>
        <w:shd w:val="clear" w:color="auto" w:fill="auto"/>
        <w:bidi w:val="0"/>
        <w:spacing w:before="0" w:after="1980" w:line="240" w:lineRule="auto"/>
        <w:ind w:right="0" w:firstLine="0"/>
        <w:jc w:val="left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Действителен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с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13.04.2023 </w:t>
      </w:r>
      <w:r>
        <w:rPr>
          <w:color w:val="7D7D7D"/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по </w:t>
      </w: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06.07.2024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Исп.Гугава Э.З.</w:t>
      </w:r>
    </w:p>
    <w:p>
      <w:pPr>
        <w:pStyle w:val="Style28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тел.495-784-75-05 вн.</w:t>
      </w:r>
    </w:p>
    <w:sectPr>
      <w:footnotePr>
        <w:pos w:val="pageBottom"/>
        <w:numFmt w:val="decimal"/>
        <w:numRestart w:val="continuous"/>
      </w:footnotePr>
      <w:type w:val="continuous"/>
      <w:pgSz w:w="11900" w:h="16840"/>
      <w:pgMar w:top="1806" w:right="541" w:bottom="1806" w:left="1106" w:header="0" w:footer="3" w:gutter="0"/>
      <w:cols w:space="720"/>
      <w:noEndnote/>
      <w:rtlGutter w:val="0"/>
      <w:docGrid w:linePitch="360"/>
    </w:sectPr>
  </w:body>
</w:document>
</file>

<file path=word/footer1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2" behindDoc="1" locked="0" layoutInCell="1" allowOverlap="1">
              <wp:simplePos x="0" y="0"/>
              <wp:positionH relativeFrom="page">
                <wp:posOffset>733425</wp:posOffset>
              </wp:positionH>
              <wp:positionV relativeFrom="page">
                <wp:posOffset>10109200</wp:posOffset>
              </wp:positionV>
              <wp:extent cx="722630" cy="100330"/>
              <wp:wrapNone/>
              <wp:docPr id="7" name="Shape 7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</w:pPr>
                          <w:r>
                            <w:rPr>
                              <w:rFonts w:ascii="Cambria" w:eastAsia="Cambria" w:hAnsi="Cambria" w:cs="Cambria"/>
                              <w:color w:val="000000"/>
                              <w:spacing w:val="0"/>
                              <w:w w:val="100"/>
                              <w:position w:val="0"/>
                              <w:sz w:val="20"/>
                              <w:szCs w:val="20"/>
                              <w:shd w:val="clear" w:color="auto" w:fill="auto"/>
                              <w:lang w:val="ru-RU" w:eastAsia="ru-RU" w:bidi="ru-RU"/>
                            </w:rPr>
                            <w:t>2023-60908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3" type="#_x0000_t202" style="position:absolute;margin-left:57.75pt;margin-top:796.pt;width:56.899999999999999pt;height:7.9000000000000004pt;z-index:-188744061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</w:pPr>
                    <w:r>
                      <w:rPr>
                        <w:rFonts w:ascii="Cambria" w:eastAsia="Cambria" w:hAnsi="Cambria" w:cs="Cambria"/>
                        <w:color w:val="000000"/>
                        <w:spacing w:val="0"/>
                        <w:w w:val="100"/>
                        <w:position w:val="0"/>
                        <w:sz w:val="20"/>
                        <w:szCs w:val="20"/>
                        <w:shd w:val="clear" w:color="auto" w:fill="auto"/>
                        <w:lang w:val="ru-RU" w:eastAsia="ru-RU" w:bidi="ru-RU"/>
                      </w:rPr>
                      <w:t>2023-60908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4" behindDoc="1" locked="0" layoutInCell="1" allowOverlap="1">
              <wp:simplePos x="0" y="0"/>
              <wp:positionH relativeFrom="page">
                <wp:posOffset>721360</wp:posOffset>
              </wp:positionH>
              <wp:positionV relativeFrom="page">
                <wp:posOffset>10115550</wp:posOffset>
              </wp:positionV>
              <wp:extent cx="722630" cy="100330"/>
              <wp:wrapNone/>
              <wp:docPr id="9" name="Shape 9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72263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r>
                            <w:rPr>
                              <w:color w:val="000000"/>
                              <w:spacing w:val="0"/>
                              <w:w w:val="100"/>
                              <w:position w:val="0"/>
                              <w:sz w:val="24"/>
                              <w:szCs w:val="24"/>
                              <w:shd w:val="clear" w:color="auto" w:fill="auto"/>
                              <w:lang w:val="ru-RU" w:eastAsia="ru-RU" w:bidi="ru-RU"/>
                            </w:rPr>
                            <w:t>2023-60908</w:t>
                          </w:r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5" type="#_x0000_t202" style="position:absolute;margin-left:56.800000000000004pt;margin-top:796.5pt;width:56.899999999999999pt;height:7.9000000000000004pt;z-index:-188744059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r>
                      <w:rPr>
                        <w:color w:val="000000"/>
                        <w:spacing w:val="0"/>
                        <w:w w:val="100"/>
                        <w:position w:val="0"/>
                        <w:sz w:val="24"/>
                        <w:szCs w:val="24"/>
                        <w:shd w:val="clear" w:color="auto" w:fill="auto"/>
                        <w:lang w:val="ru-RU" w:eastAsia="ru-RU" w:bidi="ru-RU"/>
                      </w:rPr>
                      <w:t>2023-60908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3933825</wp:posOffset>
              </wp:positionH>
              <wp:positionV relativeFrom="page">
                <wp:posOffset>476250</wp:posOffset>
              </wp:positionV>
              <wp:extent cx="64135" cy="103505"/>
              <wp:wrapNone/>
              <wp:docPr id="5" name="Shape 5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64135" cy="103505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10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 id="_x0000_s1031" type="#_x0000_t202" style="position:absolute;margin-left:309.75pt;margin-top:37.5pt;width:5.0499999999999998pt;height:8.15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10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header2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/>
        <w:iCs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2">
    <w:multiLevelType w:val="multilevel"/>
    <w:lvl w:ilvl="0">
      <w:start w:val="1"/>
      <w:numFmt w:val="russianLower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4">
    <w:multiLevelType w:val="multilevel"/>
    <w:lvl w:ilvl="0">
      <w:start w:val="9"/>
      <w:numFmt w:val="decimal"/>
      <w:lvlText w:val="%1."/>
    </w:lvl>
    <w:lvl w:ilvl="1">
      <w:start w:val="1"/>
      <w:numFmt w:val="decimal"/>
      <w:lvlText w:val="%1.%2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6">
    <w:multiLevelType w:val="multilevel"/>
    <w:lvl w:ilvl="0">
      <w:start w:val="1"/>
      <w:numFmt w:val="decimal"/>
      <w:lvlText w:val="%1)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abstractNum w:abstractNumId="8">
    <w:multiLevelType w:val="multilevel"/>
    <w:lvl w:ilvl="0">
      <w:start w:val="1"/>
      <w:numFmt w:val="decimal"/>
      <w:lvlText w:val="%1.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  <w:num w:numId="3">
    <w:abstractNumId w:val="2"/>
  </w:num>
  <w:num w:numId="5">
    <w:abstractNumId w:val="4"/>
  </w:num>
  <w:num w:numId="7">
    <w:abstractNumId w:val="6"/>
  </w:num>
  <w:num w:numId="9">
    <w:abstractNumId w:val="8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Основной текст (4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character" w:customStyle="1" w:styleId="CharStyle7">
    <w:name w:val="Основной текст_"/>
    <w:basedOn w:val="DefaultParagraphFont"/>
    <w:link w:val="Style6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1">
    <w:name w:val="Колонтитул (2)_"/>
    <w:basedOn w:val="DefaultParagraphFont"/>
    <w:link w:val="Style1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15">
    <w:name w:val="Заголовок №1_"/>
    <w:basedOn w:val="DefaultParagraphFont"/>
    <w:link w:val="Style14"/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character" w:customStyle="1" w:styleId="CharStyle19">
    <w:name w:val="Основной текст (3)_"/>
    <w:basedOn w:val="DefaultParagraphFont"/>
    <w:link w:val="Style1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character" w:customStyle="1" w:styleId="CharStyle22">
    <w:name w:val="Основной текст (2)_"/>
    <w:basedOn w:val="DefaultParagraphFont"/>
    <w:link w:val="Style21"/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character" w:customStyle="1" w:styleId="CharStyle29">
    <w:name w:val="Основной текст (5)_"/>
    <w:basedOn w:val="DefaultParagraphFont"/>
    <w:link w:val="Style28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  <w:style w:type="paragraph" w:customStyle="1" w:styleId="Style2">
    <w:name w:val="Основной текст (4)"/>
    <w:basedOn w:val="Normal"/>
    <w:link w:val="CharStyle3"/>
    <w:pPr>
      <w:widowControl w:val="0"/>
      <w:shd w:val="clear" w:color="auto" w:fill="auto"/>
      <w:spacing w:after="140" w:line="257" w:lineRule="auto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6609D"/>
      <w:sz w:val="18"/>
      <w:szCs w:val="18"/>
      <w:u w:val="none"/>
    </w:rPr>
  </w:style>
  <w:style w:type="paragraph" w:customStyle="1" w:styleId="Style6">
    <w:name w:val="Основной текст"/>
    <w:basedOn w:val="Normal"/>
    <w:link w:val="CharStyle7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0">
    <w:name w:val="Колонтитул (2)"/>
    <w:basedOn w:val="Normal"/>
    <w:link w:val="CharStyle11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14">
    <w:name w:val="Заголовок №1"/>
    <w:basedOn w:val="Normal"/>
    <w:link w:val="CharStyle15"/>
    <w:pPr>
      <w:widowControl w:val="0"/>
      <w:shd w:val="clear" w:color="auto" w:fill="auto"/>
      <w:spacing w:after="280"/>
      <w:ind w:firstLine="360"/>
      <w:outlineLvl w:val="0"/>
    </w:pPr>
    <w:rPr>
      <w:rFonts w:ascii="Arial" w:eastAsia="Arial" w:hAnsi="Arial" w:cs="Arial"/>
      <w:b w:val="0"/>
      <w:bCs w:val="0"/>
      <w:i w:val="0"/>
      <w:iCs w:val="0"/>
      <w:smallCaps w:val="0"/>
      <w:strike w:val="0"/>
      <w:sz w:val="34"/>
      <w:szCs w:val="34"/>
      <w:u w:val="none"/>
    </w:rPr>
  </w:style>
  <w:style w:type="paragraph" w:customStyle="1" w:styleId="Style18">
    <w:name w:val="Основной текст (3)"/>
    <w:basedOn w:val="Normal"/>
    <w:link w:val="CharStyle19"/>
    <w:pPr>
      <w:widowControl w:val="0"/>
      <w:shd w:val="clear" w:color="auto" w:fill="auto"/>
      <w:spacing w:after="340" w:line="218" w:lineRule="auto"/>
      <w:ind w:left="446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252525"/>
      <w:sz w:val="12"/>
      <w:szCs w:val="12"/>
      <w:u w:val="none"/>
    </w:rPr>
  </w:style>
  <w:style w:type="paragraph" w:customStyle="1" w:styleId="Style21">
    <w:name w:val="Основной текст (2)"/>
    <w:basedOn w:val="Normal"/>
    <w:link w:val="CharStyle22"/>
    <w:pPr>
      <w:widowControl w:val="0"/>
      <w:shd w:val="clear" w:color="auto" w:fill="auto"/>
      <w:ind w:left="3820"/>
    </w:pPr>
    <w:rPr>
      <w:rFonts w:ascii="Arial" w:eastAsia="Arial" w:hAnsi="Arial" w:cs="Arial"/>
      <w:b w:val="0"/>
      <w:bCs w:val="0"/>
      <w:i w:val="0"/>
      <w:iCs w:val="0"/>
      <w:smallCaps w:val="0"/>
      <w:strike w:val="0"/>
      <w:color w:val="5D5D5D"/>
      <w:sz w:val="12"/>
      <w:szCs w:val="12"/>
      <w:u w:val="none"/>
    </w:rPr>
  </w:style>
  <w:style w:type="paragraph" w:customStyle="1" w:styleId="Style28">
    <w:name w:val="Основной текст (5)"/>
    <w:basedOn w:val="Normal"/>
    <w:link w:val="CharStyle29"/>
    <w:pPr>
      <w:widowControl w:val="0"/>
      <w:shd w:val="clear" w:color="auto" w:fill="auto"/>
      <w:spacing w:after="9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2"/>
      <w:szCs w:val="22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Relationship Id="rId8" Type="http://schemas.openxmlformats.org/officeDocument/2006/relationships/footer" Target="footer1.xml"/><Relationship Id="rId9" Type="http://schemas.openxmlformats.org/officeDocument/2006/relationships/header" Target="header2.xml"/><Relationship Id="rId10" Type="http://schemas.openxmlformats.org/officeDocument/2006/relationships/footer" Target="footer2.xml"/></Relationships>
</file>