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2670" simplePos="0" relativeHeight="125829378" behindDoc="0" locked="0" layoutInCell="1" allowOverlap="1">
                <wp:simplePos x="0" y="0"/>
                <wp:positionH relativeFrom="page">
                  <wp:posOffset>603250</wp:posOffset>
                </wp:positionH>
                <wp:positionV relativeFrom="paragraph">
                  <wp:posOffset>12700</wp:posOffset>
                </wp:positionV>
                <wp:extent cx="2587625" cy="126428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7625" cy="12642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38AAF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38AAF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5pt;margin-top:1.pt;width:203.75pt;height:99.549999999999997pt;z-index:-125829375;mso-wrap-distance-left:9.pt;mso-wrap-distance-right:82.100000000000009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38AAF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38AAF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175" distB="548640" distL="3058795" distR="114300" simplePos="0" relativeHeight="125829380" behindDoc="0" locked="0" layoutInCell="1" allowOverlap="1">
            <wp:simplePos x="0" y="0"/>
            <wp:positionH relativeFrom="page">
              <wp:posOffset>3547745</wp:posOffset>
            </wp:positionH>
            <wp:positionV relativeFrom="paragraph">
              <wp:posOffset>142875</wp:posOffset>
            </wp:positionV>
            <wp:extent cx="572770" cy="67691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Казань, 420021</w:t>
        <w:br/>
        <w:t>тел.: (843) 236-89-22. факс (843) 238-19-46</w:t>
        <w:br/>
        <w:t>е-таП: Ю16(аГа8.§оу.ги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38AA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МОНОПОЛИЯГО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color w:val="738AAF"/>
          <w:spacing w:val="0"/>
          <w:w w:val="100"/>
          <w:position w:val="0"/>
          <w:shd w:val="clear" w:color="auto" w:fill="auto"/>
          <w:lang w:val="ru-RU" w:eastAsia="ru-RU" w:bidi="ru-RU"/>
        </w:rPr>
        <w:t>Монополиягэ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38AA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878" w:right="1395" w:bottom="1071" w:left="1519" w:header="0" w:footer="3" w:gutter="0"/>
          <w:pgNumType w:start="1"/>
          <w:cols w:num="2" w:space="25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ур., 55 Йорг. Казан шойоре, 420021</w:t>
        <w:br/>
        <w:t>тел.: (843) 236-89-22, факс (843) 238-19-46</w:t>
        <w:br/>
        <w:t>е-гпаИ: (о16@Га8.§ОУ.ги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7" w:right="0" w:bottom="12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7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651510</wp:posOffset>
                </wp:positionH>
                <wp:positionV relativeFrom="paragraph">
                  <wp:posOffset>12700</wp:posOffset>
                </wp:positionV>
                <wp:extent cx="2540000" cy="17399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00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.300000000000004pt;margin-top:1.pt;width:200.pt;height:13.7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АВТОНОМНОЕ УЧРЕЖДЕНИЕ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ЗДРАВООХРАНЕНИЯ "ДЕТСКАЯ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ГОРОДСКАЯ ПОЛИКЛИНИКА № 4” СКАЗАЛИ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Дефо14@тЪох.ги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Брунштейн М.И.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64" w:lineRule="auto"/>
        <w:ind w:left="596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Вштап 1990@таП.ги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016/06/48-1761/2023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82" w:val="left"/>
        </w:tabs>
        <w:bidi w:val="0"/>
        <w:spacing w:before="0" w:after="30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544"/>
        <w:gridCol w:w="4716"/>
      </w:tblGrid>
      <w:tr>
        <w:trPr>
          <w:trHeight w:val="6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А.А. - начальника отдела,</w:t>
            </w:r>
          </w:p>
        </w:tc>
      </w:tr>
      <w:tr>
        <w:trPr>
          <w:trHeight w:val="128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- ведущего специалиста-эксперта, Габдулхаевой А.А. - специалиста 1 разряда,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 - Егоровой С.В. (доверенность №2 от 17.06.2022г.), в присутствии представителя заявителя ИН Брунштейн М.И., рассмотрев в режиме видеоконференцсвязи жалобы заявителя ИП Брунштейна М.И. (вх. №13218/ж от 11.12.2023г. (ЕИС от 09.12.2023г, вх.№13221/ж от 11.12.2023г.</w:t>
      </w:r>
    </w:p>
    <w:tbl>
      <w:tblPr>
        <w:tblOverlap w:val="never"/>
        <w:jc w:val="center"/>
        <w:tblLayout w:type="fixed"/>
      </w:tblPr>
      <w:tblGrid>
        <w:gridCol w:w="5544"/>
        <w:gridCol w:w="4716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(ЕИС от 11.12.2023 г.) на действия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заказчика ГОСУДАРСТВЕННОГО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АВТОНОМНОГО УЧРЕЖДЕНИЯ ЗДРАВООХРАНЕНИЯ "ДЕТСКАЯ ГОРОДСКАЯ ПОЛИКЛИНИКА № 4" ГКАЗАНИ при проведении закупки №0311300307423000023 на предмет: «Поставка изделий медицинского назначения (реагентов диагностических) на 2024 год.», при проведении закупки №0311300307423000029 на предмет: «Поставка реагентов диагностических для гематологического анализатора на 2024 год»,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№0311300307423000023 размещено на официальном сайте Российской Федерации \у\у\у.2акирк1.§оу.ги 22.11.2023г.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- 596 571,97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№0311300307423000029 размещено на официальном сайте Российской Федерации \у\у\у.хакирк1.§оу.ги 22.11.2023г.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- 597 045,62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жалоб, по мнению заявителя, закупки проведены с нарушениями норм действующего законодательства, а именно заявка заявителя отклонена заказчиком неправомерно.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доводом, изложенным в жалобах не согласился, представил устные и письменные пояснения, а также документы по закупке, которые приобщены к материалам дела.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довода заявителя на действия заказчика, позиции заказчика, изучения извещения электронного аукциона приходит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пунктом 1 части 1 статьи 33 Федеральный закон от 05.04.2013 К 44-ФЗ "О контрактной системе в сфере закупок товаров, работ, услуг для обеспечения государственных и муниципальных нужд" (далее- Закона о контрактной системе),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7" w:right="475" w:bottom="1229" w:left="109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  <w:br/>
        <w:t>оборудованию, используемым заказчиком, в соответствии с технической</w:t>
        <w:br/>
        <w:t>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1 статьи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2 статьи 33 Закона о контрактной системе описание объекта закупки в соответствии с требованиями, указанными в части 1 настоящей статьи,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21" w:right="562" w:bottom="621" w:left="98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содержать: предложение участника закупки в отношении объекта закупки: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законодательством Российской Федерации они передаются вместе с товаром (пп. «в» п. 2 ч. 1 ст. 43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должна’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12 статьи 48 Закона о контрактной системе при рассмотрении заявки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п.З ч. 6 ст.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пояснил, что заказчик неправомерно отклонил заявку, ввиду несоответствия требованиям представленного им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пояснил, что при формировании требований к закупаемому товару было установлено требование о совместимости с гематологическим анализатором М1сгоСС-20Р1из, а заявителем были представлен «Комплект реагентов «Юни-Гем» для анализа форменных элементов крови и гемоглобина», который не совместим с гематологическим анализатором М1сгоСС-20Р1из, на основании несоответствия требований, установленных заказчиком, заявка ИП Брунштейн М.И была отклонена.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89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Комиссия, проанализировав «Описание объекта», установила, что заказчиком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были установлены следующие требования: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tbl>
      <w:tblPr>
        <w:tblOverlap w:val="never"/>
        <w:jc w:val="left"/>
        <w:tblLayout w:type="fixed"/>
      </w:tblPr>
      <w:tblGrid>
        <w:gridCol w:w="3409"/>
        <w:gridCol w:w="2502"/>
      </w:tblGrid>
      <w:tr>
        <w:trPr>
          <w:trHeight w:val="13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Совместимость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Совместим с гематологическим анализатором М1сгоСС-20Р1и8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анализа заявки ИП Брунштейн М.И., поданной на участие в данных электронных аукционах, Комиссия установила, что участник представил документы на «Комплект реагентов "Юни-Гем" для анализа форменных элементов крови и гемоглобина на различных гематологических анализаторах по ТУ 9398-247- 45399867-2006, производителя ООО «РЕАМЕД».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проанализировала Инструкцию пользователя М1сгоСС-20Р1из Автоматический гематологический анализатор.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2.4. данной инструкции Комиссия установила, для работы прибора необходимы дилюент (реагент для разведения), лизирующий раствор, ферментативный очиститель (промывающий раствор) и раствор срочной очистки.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Их используют во время измерения и выполнения работ и для обслуживания анализатора. Для обеспечения необходимой точности получаемых результатов используйте реагенты, которые рекомендованы фирмой-производителем.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Заявителем был предоставлен ответ на обращение от Росздравнадзора, в котором установлено следующее: Управление организации государственного контроля и регистрации медицинских изделий рассмотрело обращение( вх. 15.12.2021 №09-П-25800/3) и сообщает, что согласно представленным разъяснениям ООО «Бизнес Технологии», медицинское изделие «Анализатор гематологический М1сгоСС-20Р1и8», Производителя «Хай ТекнолоджщИнк.», США, регистрационное удостоверение от 09.11.2017 №ФСЗ 2010/07756, срок действия не ограничен, не может считаться «закрытой аналитической системой», поскольку в процессе работы позволяет использовать реагенты, контрольные и расходные материалы в соответствии с их эксплуатационной документацией различных фирм производителей,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продукция которых прошла соответствующие испытания и была аттестована для совместной работы.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изучила письмо компании Н1§11 Тес1шо1о§у, представленное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изучения данного письма, Комиссия установила, что корректная работа автоматического гематологического анализатора М1сгоСС-20Р1из обеспечивается только при использовании реагентов производства ООО «Клиникал Диагностик Солюшнз» (Россия) или «Нщй Тесйпо1о§у 1пс» (США), как адаптированных для работы на данном типе анализаторов и прошедших соответствующие испытания.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отмечает, что реагенты производства ООО «РЕАМЕД», ЛТ.Вакег, СОКМАУ, Эйлитон не тестировались на гематологическом анализаторе М1сгоСС-20Р1и8 и запросов на апробацию в адрес производителя гематологического анализатора МюгоСС-20Р1и8 «Нщй Тесйпо1о§у, 1пс.» (США) от ООО «РЕАМЕД», ТТ.Вакег, СОКМАУ, Эйлитон также не поступало.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на основании вышеизложенного, Комиссия приходит к выводу, что товар, предложенный заявителем, не совместим с гематологическим анализатором М1сгоСС-20Р1и8.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товар предложенный заявителем, не соответствует требованиям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вышеуказанного, Комиссией установлено, что аукционной комиссией правомерно принято решение об отклонении данных заявок.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самым, Комиссия приходит к выводу, что довод заявителя не нашел своего подтверждения.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700"/>
        <w:jc w:val="both"/>
      </w:pPr>
      <w:r>
        <w:drawing>
          <wp:anchor distT="0" distB="301625" distL="25400" distR="25400" simplePos="0" relativeHeight="125829383" behindDoc="0" locked="0" layoutInCell="1" allowOverlap="1">
            <wp:simplePos x="0" y="0"/>
            <wp:positionH relativeFrom="page">
              <wp:posOffset>7301865</wp:posOffset>
            </wp:positionH>
            <wp:positionV relativeFrom="margin">
              <wp:posOffset>-706120</wp:posOffset>
            </wp:positionV>
            <wp:extent cx="231775" cy="956437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31775" cy="9564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7395845</wp:posOffset>
                </wp:positionH>
                <wp:positionV relativeFrom="margin">
                  <wp:posOffset>8943340</wp:posOffset>
                </wp:positionV>
                <wp:extent cx="93980" cy="21717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980" cy="217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2.35000000000002pt;margin-top:704.20000000000005pt;width:7.4000000000000004pt;height:17.10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*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жалобы заявителя ИП Брунштейна М.И. (вх. №13218/ж от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11.12.2023г. (ЕИС от 09.12.2023г., вх.№13221/ж от 11.12.2023г. (ЕИС от 11.12.2023г.) на действия заказчика ГОСУДАРСТВЕННОГО АВТОНОМНОГО УЧРЕЖДЕНИЯ ЗДРАВООХРАНЕНИЯ "ДЕТСКАЯ ГОРОДСКАЯ ПОЛИКЛИНИКА № 4” Г.КАЗАНИ при проведении закупки №0311300307423000023 на предмет: «Поставка изделий медицинского назначения (реагентов диагностических) на 2024 год.», при проведении закупки №0311300307423000029 на предмет: «Поставка реагентов диагностических для гематологического анализатора на 2024 год», необоснованными.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52" w:lineRule="auto"/>
        <w:ind w:left="0" w:right="0" w:firstLine="760"/>
        <w:jc w:val="both"/>
      </w:pPr>
      <w:r>
        <w:drawing>
          <wp:anchor distT="0" distB="0" distL="114300" distR="1287145" simplePos="0" relativeHeight="125829384" behindDoc="0" locked="0" layoutInCell="1" allowOverlap="1">
            <wp:simplePos x="0" y="0"/>
            <wp:positionH relativeFrom="page">
              <wp:posOffset>4561205</wp:posOffset>
            </wp:positionH>
            <wp:positionV relativeFrom="paragraph">
              <wp:posOffset>203200</wp:posOffset>
            </wp:positionV>
            <wp:extent cx="1402080" cy="1652270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402080" cy="16522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6141085</wp:posOffset>
                </wp:positionH>
                <wp:positionV relativeFrom="paragraph">
                  <wp:posOffset>824865</wp:posOffset>
                </wp:positionV>
                <wp:extent cx="996950" cy="5003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500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А.С.Кучеева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55000000000001pt;margin-top:64.950000000000003pt;width:78.5pt;height:39.3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А.С.Кучеева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5784215</wp:posOffset>
                </wp:positionH>
                <wp:positionV relativeFrom="paragraph">
                  <wp:posOffset>431800</wp:posOffset>
                </wp:positionV>
                <wp:extent cx="1357630" cy="21018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763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Габдулхаева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5.44999999999999pt;margin-top:34.pt;width:106.90000000000001pt;height:16.5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Габдулхаева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Габдулхаева Айгуль Алмазовна Тел. (843)238-24-86</w:t>
      </w:r>
    </w:p>
    <w:sectPr>
      <w:headerReference w:type="default" r:id="rId15"/>
      <w:footerReference w:type="default" r:id="rId16"/>
      <w:headerReference w:type="even" r:id="rId17"/>
      <w:footerReference w:type="even" r:id="rId18"/>
      <w:footnotePr>
        <w:pos w:val="pageBottom"/>
        <w:numFmt w:val="decimal"/>
        <w:numRestart w:val="continuous"/>
      </w:footnotePr>
      <w:pgSz w:w="11900" w:h="16840"/>
      <w:pgMar w:top="1257" w:right="549" w:bottom="1157" w:left="100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774065</wp:posOffset>
              </wp:positionH>
              <wp:positionV relativeFrom="page">
                <wp:posOffset>10194925</wp:posOffset>
              </wp:positionV>
              <wp:extent cx="567055" cy="1168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230662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0.950000000000003pt;margin-top:802.75pt;width:44.649999999999999pt;height:9.200000000000001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230662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3958590</wp:posOffset>
              </wp:positionH>
              <wp:positionV relativeFrom="page">
                <wp:posOffset>410845</wp:posOffset>
              </wp:positionV>
              <wp:extent cx="66040" cy="1143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0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11.69999999999999pt;margin-top:32.350000000000001pt;width:5.2000000000000002pt;height:9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3893820</wp:posOffset>
              </wp:positionH>
              <wp:positionV relativeFrom="page">
                <wp:posOffset>457835</wp:posOffset>
              </wp:positionV>
              <wp:extent cx="57150" cy="10731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6.60000000000002pt;margin-top:36.050000000000004pt;width:4.5pt;height:8.4499999999999993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542290</wp:posOffset>
              </wp:positionV>
              <wp:extent cx="66040" cy="12128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040" cy="1212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7.55000000000001pt;margin-top:42.700000000000003pt;width:5.2000000000000002pt;height:9.5500000000000007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38AAF"/>
      <w:sz w:val="15"/>
      <w:szCs w:val="15"/>
      <w:u w:val="none"/>
    </w:rPr>
  </w:style>
  <w:style w:type="character" w:customStyle="1" w:styleId="CharStyle12">
    <w:name w:val="Друго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Подпись к таблиц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Основной текст (3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38AAF"/>
      <w:sz w:val="15"/>
      <w:szCs w:val="15"/>
      <w:u w:val="none"/>
    </w:rPr>
  </w:style>
  <w:style w:type="paragraph" w:customStyle="1" w:styleId="Style11">
    <w:name w:val="Другое"/>
    <w:basedOn w:val="Normal"/>
    <w:link w:val="CharStyle12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Подпись к таблице"/>
    <w:basedOn w:val="Normal"/>
    <w:link w:val="CharStyle14"/>
    <w:pPr>
      <w:widowControl w:val="0"/>
      <w:shd w:val="clear" w:color="auto" w:fill="auto"/>
      <w:spacing w:line="257" w:lineRule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auto"/>
      <w:spacing w:before="7560"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/Relationships>
</file>