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1779270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89305" distL="114300" distR="132715" simplePos="0" relativeHeight="125829379" behindDoc="0" locked="0" layoutInCell="1" allowOverlap="1">
                <wp:simplePos x="0" y="0"/>
                <wp:positionH relativeFrom="page">
                  <wp:posOffset>727710</wp:posOffset>
                </wp:positionH>
                <wp:positionV relativeFrom="paragraph">
                  <wp:posOffset>728980</wp:posOffset>
                </wp:positionV>
                <wp:extent cx="2578735" cy="1755775"/>
                <wp:wrapSquare wrapText="right"/>
                <wp:docPr id="3" name="Shape 3"/>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300000000000004pt;margin-top:57.399999999999999pt;width:203.05000000000001pt;height:138.25pt;z-index:-125829374;mso-wrap-distance-left:9.pt;mso-wrap-distance-top:56.399999999999999pt;mso-wrap-distance-right:10.450000000000001pt;mso-wrap-distance-bottom:62.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730885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727710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7.300000000000004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Индивидуальный предприниматель</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Исрафилов Салават Ханифович 450050, Республика Башкортостан, г.</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Уфа, ул. Генерала Кусимова, д.15, кв. 36</w:t>
      </w:r>
    </w:p>
    <w:p>
      <w:pPr>
        <w:pStyle w:val="Style10"/>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8аКк49@уапдех.ги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Государственное казенное учреждение «Центр закупок и бухгалтерского учета Курганской области»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640003, Курганская область, г. Курган, ул. Р. Зорге, д. 20, оф. 1</w:t>
      </w:r>
    </w:p>
    <w:p>
      <w:pPr>
        <w:pStyle w:val="Style10"/>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идх@кигдапоЫ.ги</w:t>
      </w:r>
    </w:p>
    <w:p>
      <w:pPr>
        <w:pStyle w:val="Style10"/>
        <w:keepNext w:val="0"/>
        <w:keepLines w:val="0"/>
        <w:widowControl w:val="0"/>
        <w:shd w:val="clear" w:color="auto" w:fill="auto"/>
        <w:bidi w:val="0"/>
        <w:spacing w:before="0" w:after="0" w:line="240" w:lineRule="auto"/>
        <w:ind w:left="5320" w:right="0" w:hanging="4300"/>
        <w:jc w:val="left"/>
      </w:pPr>
      <w:r>
        <w:rPr>
          <w:color w:val="000000"/>
          <w:spacing w:val="0"/>
          <w:w w:val="100"/>
          <w:position w:val="0"/>
          <w:shd w:val="clear" w:color="auto" w:fill="auto"/>
          <w:lang w:val="ru-RU" w:eastAsia="ru-RU" w:bidi="ru-RU"/>
        </w:rPr>
        <w:t>Администрация Половинского муниципального округа Курганской области</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641780, Курганская область, Половинский район, с. Половинное, ул.</w:t>
      </w:r>
    </w:p>
    <w:p>
      <w:pPr>
        <w:pStyle w:val="Style10"/>
        <w:keepNext w:val="0"/>
        <w:keepLines w:val="0"/>
        <w:widowControl w:val="0"/>
        <w:shd w:val="clear" w:color="auto" w:fill="auto"/>
        <w:bidi w:val="0"/>
        <w:spacing w:before="0" w:after="280" w:line="240" w:lineRule="auto"/>
        <w:ind w:left="5320" w:right="0" w:firstLine="0"/>
        <w:jc w:val="left"/>
      </w:pPr>
      <w:r>
        <w:rPr>
          <w:color w:val="000000"/>
          <w:spacing w:val="0"/>
          <w:w w:val="100"/>
          <w:position w:val="0"/>
          <w:shd w:val="clear" w:color="auto" w:fill="auto"/>
          <w:lang w:val="ru-RU" w:eastAsia="ru-RU" w:bidi="ru-RU"/>
        </w:rPr>
        <w:t>Победы, зд. 12</w:t>
      </w:r>
    </w:p>
    <w:p>
      <w:pPr>
        <w:pStyle w:val="Style10"/>
        <w:keepNext w:val="0"/>
        <w:keepLines w:val="0"/>
        <w:widowControl w:val="0"/>
        <w:shd w:val="clear" w:color="auto" w:fill="auto"/>
        <w:bidi w:val="0"/>
        <w:spacing w:before="0" w:after="1280" w:line="240" w:lineRule="auto"/>
        <w:ind w:left="5320" w:right="0" w:firstLine="0"/>
        <w:jc w:val="left"/>
      </w:pPr>
      <w:r>
        <w:rPr>
          <w:color w:val="000000"/>
          <w:spacing w:val="0"/>
          <w:w w:val="100"/>
          <w:position w:val="0"/>
          <w:shd w:val="clear" w:color="auto" w:fill="auto"/>
          <w:lang w:val="ru-RU" w:eastAsia="ru-RU" w:bidi="ru-RU"/>
        </w:rPr>
        <w:t>45Ю1602@кигдапоЫ.ги</w:t>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 045/06/106-615/2023</w:t>
        <w:br/>
        <w:t>по делу о нарушении законодательства о контрактной системе в сфере закупок</w:t>
      </w:r>
    </w:p>
    <w:p>
      <w:pPr>
        <w:pStyle w:val="Style10"/>
        <w:keepNext w:val="0"/>
        <w:keepLines w:val="0"/>
        <w:widowControl w:val="0"/>
        <w:shd w:val="clear" w:color="auto" w:fill="auto"/>
        <w:tabs>
          <w:tab w:pos="9082" w:val="left"/>
        </w:tabs>
        <w:bidi w:val="0"/>
        <w:spacing w:before="0" w:after="280" w:line="240" w:lineRule="auto"/>
        <w:ind w:left="0" w:right="0" w:firstLine="0"/>
        <w:jc w:val="both"/>
      </w:pPr>
      <w:r>
        <w:rPr>
          <w:color w:val="000000"/>
          <w:spacing w:val="0"/>
          <w:w w:val="100"/>
          <w:position w:val="0"/>
          <w:shd w:val="clear" w:color="auto" w:fill="auto"/>
          <w:lang w:val="ru-RU" w:eastAsia="ru-RU" w:bidi="ru-RU"/>
        </w:rPr>
        <w:t>08.12.2023 г.</w:t>
        <w:tab/>
        <w:t>г. Курган</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Иванова А.В. - заместитель руководителя управления -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480" w:line="240" w:lineRule="auto"/>
        <w:ind w:left="0" w:right="0" w:firstLine="740"/>
        <w:jc w:val="both"/>
      </w:pPr>
      <w:r>
        <w:rPr>
          <w:color w:val="000000"/>
          <w:spacing w:val="0"/>
          <w:w w:val="100"/>
          <w:position w:val="0"/>
          <w:shd w:val="clear" w:color="auto" w:fill="auto"/>
          <w:lang w:val="ru-RU" w:eastAsia="ru-RU" w:bidi="ru-RU"/>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6"/>
        <w:keepNext/>
        <w:keepLines/>
        <w:widowControl w:val="0"/>
        <w:shd w:val="clear" w:color="auto" w:fill="auto"/>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w:t>
      </w:r>
      <w:bookmarkEnd w:id="0"/>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Колпакова А.Ю.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 xml:space="preserve">в присутствии представителя Заказчика - </w:t>
      </w:r>
      <w:r>
        <w:rPr>
          <w:color w:val="000000"/>
          <w:spacing w:val="0"/>
          <w:w w:val="100"/>
          <w:position w:val="0"/>
          <w:shd w:val="clear" w:color="auto" w:fill="auto"/>
          <w:lang w:val="ru-RU" w:eastAsia="ru-RU" w:bidi="ru-RU"/>
        </w:rPr>
        <w:t xml:space="preserve">Администрации Половинского муниципального округа Курганской области (далее - Заказчик) </w:t>
      </w:r>
      <w:r>
        <w:rPr>
          <w:color w:val="00000A"/>
          <w:spacing w:val="0"/>
          <w:w w:val="100"/>
          <w:position w:val="0"/>
          <w:shd w:val="clear" w:color="auto" w:fill="auto"/>
          <w:lang w:val="ru-RU" w:eastAsia="ru-RU" w:bidi="ru-RU"/>
        </w:rPr>
        <w:t>- Григорьевой В.Н. (на основании доверенности № 60 от 07.12.2023 г.) посредством видео-конференц связи,</w:t>
      </w:r>
    </w:p>
    <w:p>
      <w:pPr>
        <w:pStyle w:val="Style10"/>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в присутствии представителя 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 - Колдина А.Н. (на основании доверенности № 7 от 27.07.2023 г.) посредством видео-конференц связи,</w:t>
      </w:r>
    </w:p>
    <w:p>
      <w:pPr>
        <w:pStyle w:val="Style10"/>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 xml:space="preserve">в отсутствии представителя Заявителя - Индивидуального предпринимателя Исрафилова Салавата Ханифовича (далее - ИП Исрафилов С.Х., Заявитель) - </w:t>
      </w:r>
      <w:r>
        <w:rPr>
          <w:color w:val="000000"/>
          <w:spacing w:val="0"/>
          <w:w w:val="100"/>
          <w:position w:val="0"/>
          <w:shd w:val="clear" w:color="auto" w:fill="auto"/>
          <w:lang w:val="ru-RU" w:eastAsia="ru-RU" w:bidi="ru-RU"/>
        </w:rPr>
        <w:t>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не обеспечили, ходатайств о рассмотрении жалобы в отсутствие представителя не поступало</w:t>
      </w:r>
      <w:r>
        <w:rPr>
          <w:color w:val="00000A"/>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рассмотрев жалобу </w:t>
      </w:r>
      <w:r>
        <w:rPr>
          <w:color w:val="00000A"/>
          <w:spacing w:val="0"/>
          <w:w w:val="100"/>
          <w:position w:val="0"/>
          <w:shd w:val="clear" w:color="auto" w:fill="auto"/>
          <w:lang w:val="ru-RU" w:eastAsia="ru-RU" w:bidi="ru-RU"/>
        </w:rPr>
        <w:t>ИП Исрафилов С.Х. на действия Заказчика - Администрацию Половинского муниципального округа Курганской области, при участии Уполномоченного учреждения - ГКУ «Центр закупок и бухгалтерского учета Курганской области» при осуществлении закупки путем проведения запроса котировок в электронной форме на замену светильников в Половинском муниципальном округе (извещение № 0843500000223007315)</w:t>
      </w:r>
      <w:r>
        <w:rPr>
          <w:color w:val="000000"/>
          <w:spacing w:val="0"/>
          <w:w w:val="100"/>
          <w:position w:val="0"/>
          <w:shd w:val="clear" w:color="auto" w:fill="auto"/>
          <w:lang w:val="ru-RU" w:eastAsia="ru-RU" w:bidi="ru-RU"/>
        </w:rPr>
        <w:t>,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05.12.2023 г. в Курганское УФАС России поступила жалоба </w:t>
      </w:r>
      <w:r>
        <w:rPr>
          <w:color w:val="00000A"/>
          <w:spacing w:val="0"/>
          <w:w w:val="100"/>
          <w:position w:val="0"/>
          <w:shd w:val="clear" w:color="auto" w:fill="auto"/>
          <w:lang w:val="ru-RU" w:eastAsia="ru-RU" w:bidi="ru-RU"/>
        </w:rPr>
        <w:t xml:space="preserve">ИП Исрафилов С.Х. (вх. № 5278-ЭП/23) на действия Заказчика - Администрацию Половинского муниципального округа Курганской области, при участии Уполномоченного учреждения - ГКУ «Центр закупок и бухгалтерского учета Курганской области» при осуществлении закупки путем проведения запроса котировок в электронной форме </w:t>
      </w:r>
      <w:r>
        <w:rPr>
          <w:color w:val="00000A"/>
          <w:spacing w:val="0"/>
          <w:w w:val="100"/>
          <w:position w:val="0"/>
          <w:shd w:val="clear" w:color="auto" w:fill="auto"/>
          <w:lang w:val="ru-RU" w:eastAsia="ru-RU" w:bidi="ru-RU"/>
        </w:rPr>
        <w:t>на замену светильников в Половинском муниципальном округе (извещение № 0843500000223007315)</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Заказчиком нарушены положения Закона о контрактной системе, а именно положения извещения нарушают нормы статьи 33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 приостановить закупку до рассмотрения жалобы по существу; провести внеплановую проверку на соответствие действий Заказчика и Уполномоченной организации положениям Закона о контрактной системе; признать настоящую жалобу обоснованной.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Заказчик </w:t>
      </w:r>
      <w:r>
        <w:rPr>
          <w:color w:val="000000"/>
          <w:spacing w:val="0"/>
          <w:w w:val="100"/>
          <w:position w:val="0"/>
          <w:shd w:val="clear" w:color="auto" w:fill="auto"/>
          <w:lang w:val="ru-RU" w:eastAsia="ru-RU" w:bidi="ru-RU"/>
        </w:rPr>
        <w:t>выразил свою позицию относительно жалобы в письменных пояснениях, которые приобщены к материалам дела, из которых следует, что с доводом жалобы не согласен.</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Представитель Уполномоченного учреждения </w:t>
      </w:r>
      <w:r>
        <w:rPr>
          <w:color w:val="000000"/>
          <w:spacing w:val="0"/>
          <w:w w:val="100"/>
          <w:position w:val="0"/>
          <w:shd w:val="clear" w:color="auto" w:fill="auto"/>
          <w:lang w:val="ru-RU" w:eastAsia="ru-RU" w:bidi="ru-RU"/>
        </w:rPr>
        <w:t>с доводом, изложенным Заявителем в жалобе не согласен по основаниям, изложенным в возражениях, которые приобщены к материалам дела по рассмотрению данной жалобы, просит признать жалобу необоснованной.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статьями 99, 105,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27.11.2023 г. в ЕИС опубликовано извещение о проведении запроса котировок в электронной форме на замену светильников в Половинском муниципальном округе (извещение № 0843500000223007315).</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4 003 300 рублей 00 копеек.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является Администрация Половинского муниципального округа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Размещение закупки осуществляет Уполномоченное учреждение - ГКУ «Центр закупок и бухгалтерского учета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Часть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w:t>
      </w:r>
      <w:r>
        <w:rPr>
          <w:color w:val="000000"/>
          <w:spacing w:val="0"/>
          <w:w w:val="100"/>
          <w:position w:val="0"/>
          <w:shd w:val="clear" w:color="auto" w:fill="auto"/>
          <w:lang w:val="ru-RU" w:eastAsia="ru-RU" w:bidi="ru-RU"/>
        </w:rPr>
        <w:t>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24 Закона о контрактной системе, определено, что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являются:</w:t>
      </w:r>
    </w:p>
    <w:p>
      <w:pPr>
        <w:pStyle w:val="Style10"/>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Style10"/>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Style10"/>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запрос котировок в электронной форме (далее - электронный запрос котировок) (часть 2 статьи 24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части 3 статьи 24 Закона о контрактной системе сказано, что для целей настоящего Федерального закона, электронный конкурс, электронный аукцион, электронный запрос котировок, закупка товара у единственного поставщика на сумму, предусмотренную частью 12 статьи 93 настоящего Федерального закона, </w:t>
      </w:r>
      <w:r>
        <w:rPr>
          <w:color w:val="000000"/>
          <w:spacing w:val="0"/>
          <w:w w:val="100"/>
          <w:position w:val="0"/>
          <w:shd w:val="clear" w:color="auto" w:fill="auto"/>
          <w:lang w:val="ru-RU" w:eastAsia="ru-RU" w:bidi="ru-RU"/>
        </w:rPr>
        <w:t>считаются также электронными процедурами, а закрытый электронный конкурс, закрытый электронный аукцион - закрытыми электронными процедурами.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50 Закона о контрактной системе, гласит, что электронный запрос котировок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 числе, описание объекта закупки в соответствии со статьей 33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пунктами 1,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0"/>
        <w:keepNext w:val="0"/>
        <w:keepLines w:val="0"/>
        <w:widowControl w:val="0"/>
        <w:numPr>
          <w:ilvl w:val="0"/>
          <w:numId w:val="3"/>
        </w:numPr>
        <w:shd w:val="clear" w:color="auto" w:fill="auto"/>
        <w:tabs>
          <w:tab w:pos="10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5"/>
        </w:numPr>
        <w:shd w:val="clear" w:color="auto" w:fill="auto"/>
        <w:tabs>
          <w:tab w:pos="10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0"/>
        <w:keepNext w:val="0"/>
        <w:keepLines w:val="0"/>
        <w:widowControl w:val="0"/>
        <w:numPr>
          <w:ilvl w:val="0"/>
          <w:numId w:val="5"/>
        </w:numPr>
        <w:shd w:val="clear" w:color="auto" w:fill="auto"/>
        <w:tabs>
          <w:tab w:pos="10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5"/>
        </w:numPr>
        <w:shd w:val="clear" w:color="auto" w:fill="auto"/>
        <w:tabs>
          <w:tab w:pos="10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5"/>
        </w:numPr>
        <w:shd w:val="clear" w:color="auto" w:fill="auto"/>
        <w:tabs>
          <w:tab w:pos="10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numPr>
          <w:ilvl w:val="0"/>
          <w:numId w:val="3"/>
        </w:numPr>
        <w:shd w:val="clear" w:color="auto" w:fill="auto"/>
        <w:tabs>
          <w:tab w:pos="10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w:t>
      </w:r>
      <w:r>
        <w:rPr>
          <w:color w:val="000000"/>
          <w:spacing w:val="0"/>
          <w:w w:val="100"/>
          <w:position w:val="0"/>
          <w:shd w:val="clear" w:color="auto" w:fill="auto"/>
          <w:lang w:val="ru-RU" w:eastAsia="ru-RU" w:bidi="ru-RU"/>
        </w:rPr>
        <w:t>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зависимости от своих потребностей Заказчик в описании объекта закупки должен установить требования, в частности, к качеству, техническим характеристикам (потребительским свойствам)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чем, Заказчик вправе включить в описание объекта закупки такие характеристики и требования к товару,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Законом о контрактной системе не предусмотрено ограничений по включению в извещение требований к товару (услугам), являющихся значимыми для Заказчика. Ограничивает усмотрение Заказчика только требование о недопустимости ограничения конкуренции. Следовательно, действующее законодательство в сфере осуществления закупок допускает самостоятельное формирование Заказчиком своего заказа, исходя из потребностей последнего.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Положения пункта 2 части 1 статьи 33 Закона о контрактной системе указывают на необходимость применения при описании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рассматриваемой закупки является: «Замена светильников в Половинском муниципальном округе».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пояснений представителя Уполномоченного учреждения следует, что положения статьи 33 Закона о контрактной системе не оговаривают применения значения показателей, содержащихся в ГОСТ, в точном соответствии такому ГОСТу.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Положения статьи 33 Закона о контрактной системе не ограничивают Заказчика при описании объекта закупки исключительно характеристиками товара, работы, услуги, содержащимися в том или ином документе о стандартизации.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своей сути, статья 33 Закона о контрактной системе указывает на необходимость обосновать применения характеристик товара, работы, услуги в случае неиспользования Заказчиком положений соответствующего документа о стандартизации. Однако, Заказчиком в рассматриваемом случае положения ряда документов о стандартизации использованы.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положениями статьи 33 Закона о контрактной системе не указанно на обязанность Заказчика описывать требуемый товар в соответствии со всеми возможными документами о стандартизации.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довод о неправомерном предъявлении требований к источнику питания, температуре эксплуатации, мощности светильника, материалу корпуса, цветовой температуре, степени защиты, в отсутствие обоснования необходимости применения данных характеристик при формировании описания объекта закупки считается несостоятельным.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довода о разночтении, допущенном при описании характеристик используемого при выполнении работ силового кабеля, Курганское УФАС России сообщает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подпункту «а» пункта 2 части 1 статьи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 в том числе, с учетом положений части 2 статьи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 предложение участника закупки в отношении объекта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1 части 2 статьи 43 Закона о контрактной системе при формировании предложения участника закупки в отношении объекта закупки информация о товаре, предусмотренная подпунктами «а» и «б» пункта 2 части 1 статьи 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пояснений представителя Уполномоченного учреждения следует, что предоставление конкретных характеристик товара является обязательным в случае закупки товара, то есть, если по условиям контракта необходимо осуществить поставку товара.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указанных обстоятельствах наступление ситуации, при которой комиссия по осуществлению закупок требует при рассмотрении заявок участников предоставление конкретных характеристик осветительных приборов не представляется возможным, следовательно, участник закупки не может допустить ошибок при заполнении заявок, ставших в последствии основанием для признания заявки не соответствующей требованиям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Предметом закупки в рассматриваемом случае является выполнение работ по замене светильников в Половинском муниципальном округе Курганской области. По условиям контракта, приемке будут подлежать именно выполненные работы, а не осветительное оборудование.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Комиссия Курганского УФАС России находит доводы Заявителя необоснованными.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Комиссией Курганского УФАС России в действиях субъектов контроля нарушений требований законодательства о контрактной системе не установлено.</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Исследовав предоставленные материалы, руководствуясь статьями 99, 105, 106 Закона о контрактной системе, Комиссией Курганского УФАС России,</w:t>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Признать жалобу Индивидуального предпринимателя Исрафилова Салавата Ханифовича необоснованной.</w:t>
      </w:r>
    </w:p>
    <w:p>
      <w:pPr>
        <w:pStyle w:val="Style10"/>
        <w:keepNext w:val="0"/>
        <w:keepLines w:val="0"/>
        <w:widowControl w:val="0"/>
        <w:shd w:val="clear" w:color="auto" w:fill="auto"/>
        <w:bidi w:val="0"/>
        <w:spacing w:before="0" w:after="600" w:line="240" w:lineRule="auto"/>
        <w:ind w:left="0" w:right="0" w:firstLine="740"/>
        <w:jc w:val="both"/>
        <w:rPr>
          <w:sz w:val="26"/>
          <w:szCs w:val="26"/>
        </w:rPr>
      </w:pPr>
      <w:r>
        <w:rPr>
          <w:i/>
          <w:iCs/>
          <w:color w:val="000000"/>
          <w:spacing w:val="0"/>
          <w:w w:val="100"/>
          <w:position w:val="0"/>
          <w:sz w:val="26"/>
          <w:szCs w:val="26"/>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tabs>
          <w:tab w:pos="7706" w:val="center"/>
          <w:tab w:pos="8086" w:val="center"/>
          <w:tab w:pos="8528" w:val="left"/>
        </w:tabs>
        <w:bidi w:val="0"/>
        <w:spacing w:before="0" w:after="320" w:line="240" w:lineRule="auto"/>
        <w:ind w:left="0" w:right="0" w:firstLine="0"/>
        <w:jc w:val="both"/>
      </w:pPr>
      <w:r>
        <w:rPr>
          <w:color w:val="00000A"/>
          <w:spacing w:val="0"/>
          <w:w w:val="100"/>
          <w:position w:val="0"/>
          <w:shd w:val="clear" w:color="auto" w:fill="auto"/>
          <w:lang w:val="ru-RU" w:eastAsia="ru-RU" w:bidi="ru-RU"/>
        </w:rPr>
        <w:t>Заместитель Председателя Комиссии:</w:t>
        <w:tab/>
        <w:t xml:space="preserve"> /</w:t>
        <w:tab/>
        <w:t>А.В.</w:t>
        <w:tab/>
        <w:t>Иванова</w:t>
      </w:r>
    </w:p>
    <w:p>
      <w:pPr>
        <w:pStyle w:val="Style10"/>
        <w:keepNext w:val="0"/>
        <w:keepLines w:val="0"/>
        <w:widowControl w:val="0"/>
        <w:shd w:val="clear" w:color="auto" w:fill="auto"/>
        <w:tabs>
          <w:tab w:pos="7706" w:val="center"/>
          <w:tab w:pos="8086" w:val="center"/>
          <w:tab w:pos="8590" w:val="left"/>
        </w:tabs>
        <w:bidi w:val="0"/>
        <w:spacing w:before="0" w:after="320" w:line="240" w:lineRule="auto"/>
        <w:ind w:left="0" w:right="0" w:firstLine="0"/>
        <w:jc w:val="both"/>
      </w:pPr>
      <w:r>
        <w:rPr>
          <w:color w:val="00000A"/>
          <w:spacing w:val="0"/>
          <w:w w:val="100"/>
          <w:position w:val="0"/>
          <w:shd w:val="clear" w:color="auto" w:fill="auto"/>
          <w:lang w:val="ru-RU" w:eastAsia="ru-RU" w:bidi="ru-RU"/>
        </w:rPr>
        <w:t>Члены Комиссии:</w:t>
        <w:tab/>
        <w:t xml:space="preserve"> /</w:t>
        <w:tab/>
        <w:t>И.М.</w:t>
        <w:tab/>
        <w:t>Стрижова</w:t>
      </w:r>
    </w:p>
    <w:p>
      <w:pPr>
        <w:pStyle w:val="Style10"/>
        <w:keepNext w:val="0"/>
        <w:keepLines w:val="0"/>
        <w:widowControl w:val="0"/>
        <w:shd w:val="clear" w:color="auto" w:fill="auto"/>
        <w:tabs>
          <w:tab w:leader="underscore" w:pos="2386" w:val="left"/>
        </w:tabs>
        <w:bidi w:val="0"/>
        <w:spacing w:before="0" w:after="300" w:line="240" w:lineRule="auto"/>
        <w:ind w:left="0" w:right="400" w:firstLine="0"/>
        <w:jc w:val="right"/>
      </w:pPr>
      <w:r>
        <w:rPr>
          <w:color w:val="00000A"/>
          <w:spacing w:val="0"/>
          <w:w w:val="100"/>
          <w:position w:val="0"/>
          <w:shd w:val="clear" w:color="auto" w:fill="auto"/>
          <w:lang w:val="ru-RU" w:eastAsia="ru-RU" w:bidi="ru-RU"/>
        </w:rPr>
        <w:tab/>
        <w:t>/ А.Ю. Колпакова</w:t>
      </w:r>
    </w:p>
    <w:sectPr>
      <w:footerReference w:type="default" r:id="rId9"/>
      <w:footerReference w:type="first" r:id="rId10"/>
      <w:footnotePr>
        <w:pos w:val="pageBottom"/>
        <w:numFmt w:val="decimal"/>
        <w:numRestart w:val="continuous"/>
      </w:footnotePr>
      <w:pgSz w:w="11900" w:h="16840"/>
      <w:pgMar w:top="1105" w:right="542" w:bottom="1217" w:left="1101"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10016490</wp:posOffset>
              </wp:positionV>
              <wp:extent cx="643255" cy="100330"/>
              <wp:wrapNone/>
              <wp:docPr id="9" name="Shape 9"/>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2023-4005</w:t>
                          </w:r>
                        </w:p>
                      </w:txbxContent>
                    </wps:txbx>
                    <wps:bodyPr wrap="none" lIns="0" tIns="0" rIns="0" bIns="0">
                      <a:spAutoFit/>
                    </wps:bodyPr>
                  </wps:wsp>
                </a:graphicData>
              </a:graphic>
            </wp:anchor>
          </w:drawing>
        </mc:Choice>
        <mc:Fallback>
          <w:pict>
            <v:shape id="_x0000_s1035" type="#_x0000_t202" style="position:absolute;margin-left:56.850000000000001pt;margin-top:788.70000000000005pt;width:50.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2023-4005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9857740</wp:posOffset>
              </wp:positionV>
              <wp:extent cx="643255" cy="100330"/>
              <wp:wrapNone/>
              <wp:docPr id="11" name="Shape 11"/>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2023-4005</w:t>
                          </w:r>
                        </w:p>
                      </w:txbxContent>
                    </wps:txbx>
                    <wps:bodyPr wrap="none" lIns="0" tIns="0" rIns="0" bIns="0">
                      <a:spAutoFit/>
                    </wps:bodyPr>
                  </wps:wsp>
                </a:graphicData>
              </a:graphic>
            </wp:anchor>
          </w:drawing>
        </mc:Choice>
        <mc:Fallback>
          <w:pict>
            <v:shape id="_x0000_s1037" type="#_x0000_t202" style="position:absolute;margin-left:57.300000000000004pt;margin-top:776.20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2023-4005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8"/>
      <w:szCs w:val="38"/>
      <w:u w:val="none"/>
    </w:rPr>
  </w:style>
  <w:style w:type="paragraph" w:customStyle="1" w:styleId="Style2">
    <w:name w:val="Основной текст (2)"/>
    <w:basedOn w:val="Normal"/>
    <w:link w:val="CharStyle3"/>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1"/>
    <w:basedOn w:val="Normal"/>
    <w:link w:val="CharStyle17"/>
    <w:pPr>
      <w:widowControl w:val="0"/>
      <w:shd w:val="clear" w:color="auto" w:fill="auto"/>
      <w:spacing w:after="28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