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67310" distL="114300" distR="11430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12700</wp:posOffset>
            </wp:positionV>
            <wp:extent cx="2810510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10510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2393950</wp:posOffset>
                </wp:positionH>
                <wp:positionV relativeFrom="paragraph">
                  <wp:posOffset>2234565</wp:posOffset>
                </wp:positionV>
                <wp:extent cx="107315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ВЛ/17406/23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8.5pt;margin-top:175.95000000000002pt;width:84.5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ВЛ/17406/23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854710</wp:posOffset>
                </wp:positionH>
                <wp:positionV relativeFrom="paragraph">
                  <wp:posOffset>2234565</wp:posOffset>
                </wp:positionV>
                <wp:extent cx="826135" cy="23177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7.299999999999997pt;margin-top:175.95000000000002pt;width:65.049999999999997pt;height:18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772160</wp:posOffset>
                </wp:positionH>
                <wp:positionV relativeFrom="paragraph">
                  <wp:posOffset>3145790</wp:posOffset>
                </wp:positionV>
                <wp:extent cx="859790" cy="2165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0.800000000000004pt;margin-top:247.70000000000002pt;width:67.700000000000003pt;height:17.0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1098550</wp:posOffset>
                </wp:positionH>
                <wp:positionV relativeFrom="paragraph">
                  <wp:posOffset>1606550</wp:posOffset>
                </wp:positionV>
                <wp:extent cx="1880870" cy="15557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пр. Ленина, 59, г.Челябинск, 454091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6.5pt;margin-top:126.5pt;width:148.09999999999999pt;height:12.25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пр. Ленина, 59, г.Челябинск, 454091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888365</wp:posOffset>
                </wp:positionH>
                <wp:positionV relativeFrom="paragraph">
                  <wp:posOffset>1768475</wp:posOffset>
                </wp:positionV>
                <wp:extent cx="2233930" cy="1555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393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тел. (351) 263-88-71, факс (351) 263-18-39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9.950000000000003pt;margin-top:139.25pt;width:175.90000000000001pt;height:12.2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тел. (351) 263-88-71, факс (351) 263-18-39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1421765</wp:posOffset>
                </wp:positionH>
                <wp:positionV relativeFrom="paragraph">
                  <wp:posOffset>1926590</wp:posOffset>
                </wp:positionV>
                <wp:extent cx="1234440" cy="15875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1о74@1а8.еоу.ги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1.95pt;margin-top:151.70000000000002pt;width:97.200000000000003pt;height:12.5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1о74@1а8.еоу.ги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1574165</wp:posOffset>
                </wp:positionH>
                <wp:positionV relativeFrom="paragraph">
                  <wp:posOffset>631190</wp:posOffset>
                </wp:positionV>
                <wp:extent cx="972185" cy="15557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3.95pt;margin-top:49.700000000000003pt;width:76.549999999999997pt;height:12.2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1019175</wp:posOffset>
                </wp:positionH>
                <wp:positionV relativeFrom="paragraph">
                  <wp:posOffset>789940</wp:posOffset>
                </wp:positionV>
                <wp:extent cx="2042160" cy="15240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2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АНТНМОНО11О. 1БНАЯ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0.25pt;margin-top:62.200000000000003pt;width:160.80000000000001pt;height:12.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АНТНМОНО11О. 1БНАЯ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1591945</wp:posOffset>
                </wp:positionH>
                <wp:positionV relativeFrom="paragraph">
                  <wp:posOffset>1064260</wp:posOffset>
                </wp:positionV>
                <wp:extent cx="895985" cy="13716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У РАВ. 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25.35000000000001pt;margin-top:83.799999999999997pt;width:70.549999999999997pt;height:10.800000000000001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У РАВ. 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1204595</wp:posOffset>
                </wp:positionV>
                <wp:extent cx="2240280" cy="15875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0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72.799999999999997pt;margin-top:94.850000000000009pt;width:176.40000000000001pt;height:12.5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1354455</wp:posOffset>
                </wp:positionH>
                <wp:positionV relativeFrom="paragraph">
                  <wp:posOffset>1341755</wp:posOffset>
                </wp:positionV>
                <wp:extent cx="1380490" cy="15240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85F98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Челяоинской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06.65000000000001pt;margin-top:105.65000000000001pt;width:108.7pt;height:12.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85F98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Челяоинской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«ПРОМЕДСЕРВИС»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625018, г. Тюмень, ул. Московский тракт,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 132, стр. 12, оф.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fldChar w:fldCharType="begin"/>
      </w:r>
      <w:r>
        <w:rPr/>
        <w:instrText> HYPERLINK "mailto:iio@proms72.ru"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но@ргот872.ш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«Областная больница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Чебаркуль»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456440, Челябинская обл., г. Чебаркуль,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Крылова, 83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fldChar w:fldCharType="begin"/>
      </w:r>
      <w:r>
        <w:rPr/>
        <w:instrText> HYPERLINK "mailto:stat315@mail.ru"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8Ш315@таП.ш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fldChar w:fldCharType="begin"/>
      </w:r>
      <w:r>
        <w:rPr/>
        <w:instrText> HYPERLINK "mailto:contrakt315@mail.ru"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соп1так1315@,таП.ш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23А, эт. 25, пом. №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ко@г18-1еп4ег.ги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(извещение № 0369300019723000308)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074/06/105-2836/2023 (№ 519-ж/2023)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81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«12» декабря 2023 года</w:t>
        <w:tab/>
        <w:t>г. Челябинск, пр. Ленина, 59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Ливончик В.А. - заместителя руководителя управления -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446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Комиссии:</w:t>
        <w:tab/>
        <w:t>начальника отдела контроля закупок для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 Челябинского УФАС России;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</w:t>
        <w:tab/>
        <w:t>Сарсенбаевой Е.Н. - ведущего специалиста-эксперта отдела контроля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446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Комиссии:</w:t>
        <w:tab/>
        <w:t>закупок для государственных и муниципальных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нужд Челябинского УФАС России;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Гареевой Д.Ф. - главного специалиста-эксперта отдела контроля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для государственных и муниципальных нужд Челябинского УФАС России,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Челябинского УФАС России от 12.12.2023, вынесенного по итогам рассмотрения жалобы ООО «ПРОМЕДСЕРВИС» на действия комиссии по осуществлению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при проведении электронного аукциона на оказание услуг по контролю эксплуатационных параметров рентгеновского оборудования, дозиметрическому контролю, испытаниям средств индивидуальной защиты, электротехнических испытаний и контроль нерадиационных факторов в рентгеновских кабинетах с оформлением технического паспорта на рентгеновский кабинет (извещение № 0369300019723000308) (далее — аукцион, закупка), в целях устранения нарушений законодательства о контрактной системе,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ГБУЗ «Областная больница г. Чебаркуль»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 дня размещения в единой информационной системе в сфере закупок (далее - единая информационная система) 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получения заказчиком предписания не заключать контракт по итогам аукциона, до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исполнения 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Комиссии по осуществлению закупок в срок до 20.12.2023: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5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отмене протокола подведения итогов определения поставщика (подрядчика, исполнителя) № 0369300019723000308 от 01.12.2023;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5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заявки участников закупки в соответствии с положениями законодательства о контрактной системе, а также решением Челябинского УФАС России № 074/06/105-2836/2023 (№ 519-ж/2023), оформить протоколом;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50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указанные в пунктах 2.1, 2.2 настоящего предписания протокол и решение заказчику для направления оператору электронной площадки и размещения в единой информационной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ГБУЗ «Областная больница г. Чебаркуль»: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49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22.12.2023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протокол и решение, оформленные по итогам исполнения пунктов 2.1, 2.2 настоящего предписания, в единой информационной системе и направить оператору электронной площадки;</w:t>
      </w:r>
    </w:p>
    <w:p>
      <w:pPr>
        <w:pStyle w:val="Style10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5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после исполнения пункта 3.1 настоящего предписания продолжить процедуру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определения исполнителя, направленную на заключение контракта.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ООО «РТС-Тендер» с 15.12.2023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ГБУЗ «Областная больница г. Чебаркуль», комиссии по осуществлению закупок возможность исполнения 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ГБУЗ «Областная больница г. Чебаркуль»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подтверждение исполнения предписания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27.12.2023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Управления Федеральной антимонопольной службы по Челябинской области (</w:t>
      </w:r>
      <w:r>
        <w:fldChar w:fldCharType="begin"/>
      </w:r>
      <w:r>
        <w:rPr/>
        <w:instrText> HYPERLINK "mailto:to74@fas.gov.ru"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1:о74@Га8.доу.ги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 </w:t>
      </w:r>
      <w:r>
        <w:fldChar w:fldCharType="begin"/>
      </w:r>
      <w:r>
        <w:rPr/>
        <w:instrText> HYPERLINK "mailto:to74-gareeva@fas.gov.ru"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1:о74-дагееуа@Га8.доу.ги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)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с сопроводительным письмом, с указанием номера дела,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исключительно в электронном виде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исполнения настоящего предписания, а именно: сведения о незаключении контракта по итогам аукциона согласно пункту 1 настоящего предписания, протокол и решение, составленные по итогам исполнения пунктов 2.1, 2.2 настоящего предписания, а также подтверждение размещения указанных документов в единой информационной системе (информацию предоставить с сопроводительным письмом и указанием номера дела).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774" w:right="531" w:bottom="1417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3528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0</wp:posOffset>
                </wp:positionV>
                <wp:extent cx="1700530" cy="23177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8.200000000000003pt;margin-top:0;width:133.90000000000001pt;height:18.25pt;z-index:-125829374;mso-wrap-distance-left:0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590" distB="0" distL="0" distR="1789430" simplePos="0" relativeHeight="125829381" behindDoc="0" locked="0" layoutInCell="1" allowOverlap="1">
            <wp:simplePos x="0" y="0"/>
            <wp:positionH relativeFrom="page">
              <wp:posOffset>2644140</wp:posOffset>
            </wp:positionH>
            <wp:positionV relativeFrom="paragraph">
              <wp:posOffset>21590</wp:posOffset>
            </wp:positionV>
            <wp:extent cx="365760" cy="54864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433070</wp:posOffset>
                </wp:positionV>
                <wp:extent cx="127698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5.65000000000001pt;margin-top:34.100000000000001pt;width:100.55pt;height:7.9000000000000004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121920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05000000000001pt;margin-top:9.5999999999999996pt;width:135.84999999999999pt;height:20.15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35280" distL="0" distR="0" simplePos="0" relativeHeight="125829382" behindDoc="0" locked="0" layoutInCell="1" allowOverlap="1">
                <wp:simplePos x="0" y="0"/>
                <wp:positionH relativeFrom="page">
                  <wp:posOffset>6106795</wp:posOffset>
                </wp:positionH>
                <wp:positionV relativeFrom="paragraph">
                  <wp:posOffset>0</wp:posOffset>
                </wp:positionV>
                <wp:extent cx="1088390" cy="23177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В.А. Ливончик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80.85000000000002pt;margin-top:0;width:85.700000000000003pt;height:18.25pt;z-index:-125829371;mso-wrap-distance-left:0;mso-wrap-distance-right:0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В.А. Ливончик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72727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Ливончик Влада Анатольевна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008АВ8В8ССОА507Е407686ВСА8А57Э08Е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.02.2023 по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16.05.2024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8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5.65000000000001pt;margin-top:36.700000000000003pt;width:101.05pt;height:8.1500000000000004pt;z-index:25165775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10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2.05000000000001pt;margin-top:12.200000000000001pt;width:135.84999999999999pt;height:20.150000000000002pt;z-index:25165775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Е.Н. Сарсенбаева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72727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Сарсенбаева Екатерина Николаевна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ООВА77ЕЕ376ВОЕ59С49Е61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ЕЕ26В79А7В07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6249670</wp:posOffset>
                </wp:positionH>
                <wp:positionV relativeFrom="paragraph">
                  <wp:posOffset>228600</wp:posOffset>
                </wp:positionV>
                <wp:extent cx="941705" cy="234950"/>
                <wp:wrapSquare wrapText="left"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Д.Ф. Гареева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92.10000000000002pt;margin-top:18.pt;width:74.150000000000006pt;height:18.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Д.Ф. Гареева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14.02.2023 по 09.05.2024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90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0"/>
          <w:szCs w:val="10"/>
        </w:rPr>
      </w:pPr>
      <w:r>
        <w:rPr>
          <w:color w:val="727272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Гареева Динара Флариковна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ООЕ6486СС7РС9АСЗООА8А53САСЕОЕСЗЕ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14.02.2023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09.05.2024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74" w:right="531" w:bottom="96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10314940</wp:posOffset>
              </wp:positionV>
              <wp:extent cx="725170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2023-19632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pt;margin-top:812.2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2023-19632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10079990</wp:posOffset>
              </wp:positionV>
              <wp:extent cx="725170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2023-19632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7.pt;margin-top:793.7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2023-19632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192405</wp:posOffset>
              </wp:positionV>
              <wp:extent cx="64135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9.25pt;margin-top:15.1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1"/>
      <w:szCs w:val="11"/>
      <w:u w:val="none"/>
    </w:rPr>
  </w:style>
  <w:style w:type="character" w:customStyle="1" w:styleId="CharStyle30">
    <w:name w:val="Основной текст (3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1"/>
      <w:szCs w:val="11"/>
      <w:u w:val="none"/>
    </w:rPr>
  </w:style>
  <w:style w:type="paragraph" w:customStyle="1" w:styleId="Style29">
    <w:name w:val="Основной текст (3)"/>
    <w:basedOn w:val="Normal"/>
    <w:link w:val="CharStyle30"/>
    <w:pPr>
      <w:widowControl w:val="0"/>
      <w:shd w:val="clear" w:color="auto" w:fill="auto"/>
      <w:spacing w:after="100" w:line="218" w:lineRule="auto"/>
      <w:ind w:left="3740"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